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4C08" w14:textId="77777777" w:rsidR="003D7CA6" w:rsidRPr="00F743C7" w:rsidRDefault="003D7CA6" w:rsidP="003D7CA6">
      <w:pPr>
        <w:tabs>
          <w:tab w:val="left" w:pos="567"/>
        </w:tabs>
        <w:spacing w:after="0" w:line="240" w:lineRule="auto"/>
        <w:rPr>
          <w:rFonts w:ascii="Bookman Old Style" w:hAnsi="Bookman Old Style" w:cs="Times New Roman"/>
          <w:sz w:val="28"/>
          <w:szCs w:val="28"/>
          <w:lang w:val="el-GR"/>
        </w:rPr>
      </w:pPr>
      <w:bookmarkStart w:id="0" w:name="_GoBack"/>
      <w:bookmarkEnd w:id="0"/>
      <w:r w:rsidRPr="00F743C7">
        <w:rPr>
          <w:rFonts w:ascii="Bookman Old Style" w:hAnsi="Bookman Old Style" w:cs="Times New Roman"/>
          <w:sz w:val="28"/>
          <w:szCs w:val="28"/>
          <w:lang w:val="el-GR"/>
        </w:rPr>
        <w:t>ΑΝΩΤΑΤΟ ΔΙΚΑΣΤΗΡΙΟ ΚΥΠΡΟΥ</w:t>
      </w:r>
    </w:p>
    <w:p w14:paraId="1443BA48" w14:textId="77777777" w:rsidR="003D7CA6" w:rsidRPr="00F743C7" w:rsidRDefault="003D7CA6" w:rsidP="003D7CA6">
      <w:pPr>
        <w:spacing w:after="0" w:line="240" w:lineRule="auto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ΔΕΥΤΕΡΟΒΑΘΜΙΑ ΔΙΚΑΙΟΔΟΣΙΑ</w:t>
      </w:r>
    </w:p>
    <w:p w14:paraId="2066D842" w14:textId="442BADBF" w:rsidR="003D7CA6" w:rsidRPr="00F743C7" w:rsidRDefault="003D7CA6" w:rsidP="006E1926">
      <w:pPr>
        <w:spacing w:line="276" w:lineRule="auto"/>
        <w:jc w:val="right"/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ab/>
        <w:t>(</w:t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 xml:space="preserve">Πολιτική Έφεση Αρ. </w:t>
      </w:r>
      <w:r w:rsidRPr="0019785D">
        <w:rPr>
          <w:rFonts w:ascii="Bookman Old Style" w:hAnsi="Bookman Old Style" w:cs="Times New Roman"/>
          <w:i/>
          <w:sz w:val="28"/>
          <w:szCs w:val="28"/>
        </w:rPr>
        <w:t>E</w:t>
      </w:r>
      <w:r w:rsidRPr="006E1926">
        <w:rPr>
          <w:rFonts w:ascii="Bookman Old Style" w:hAnsi="Bookman Old Style" w:cs="Times New Roman"/>
          <w:i/>
          <w:sz w:val="28"/>
          <w:szCs w:val="28"/>
          <w:lang w:val="el-GR"/>
        </w:rPr>
        <w:t>56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/</w:t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201</w:t>
      </w:r>
      <w:r w:rsidRPr="006E1926">
        <w:rPr>
          <w:rFonts w:ascii="Bookman Old Style" w:hAnsi="Bookman Old Style" w:cs="Times New Roman"/>
          <w:i/>
          <w:sz w:val="28"/>
          <w:szCs w:val="28"/>
          <w:lang w:val="el-GR"/>
        </w:rPr>
        <w:t>7</w:t>
      </w:r>
      <w:r w:rsidRPr="00F743C7">
        <w:rPr>
          <w:rFonts w:ascii="Bookman Old Style" w:hAnsi="Bookman Old Style" w:cs="Times New Roman"/>
          <w:iCs/>
          <w:sz w:val="28"/>
          <w:szCs w:val="28"/>
          <w:lang w:val="el-GR"/>
        </w:rPr>
        <w:t>)</w:t>
      </w:r>
    </w:p>
    <w:p w14:paraId="77D89B7B" w14:textId="77777777" w:rsidR="006E1926" w:rsidRDefault="006E1926" w:rsidP="006E1926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52DAC7FA" w14:textId="577408B9" w:rsidR="003D7CA6" w:rsidRPr="00F743C7" w:rsidRDefault="00710B91" w:rsidP="006E1926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51B76">
        <w:rPr>
          <w:rFonts w:ascii="Bookman Old Style" w:hAnsi="Bookman Old Style" w:cs="Times New Roman"/>
          <w:sz w:val="28"/>
          <w:szCs w:val="28"/>
          <w:lang w:val="el-GR"/>
        </w:rPr>
        <w:t>2</w:t>
      </w:r>
      <w:r w:rsidR="00495FFA">
        <w:rPr>
          <w:rFonts w:ascii="Bookman Old Style" w:hAnsi="Bookman Old Style" w:cs="Times New Roman"/>
          <w:sz w:val="28"/>
          <w:szCs w:val="28"/>
          <w:lang w:val="el-GR"/>
        </w:rPr>
        <w:t>6</w:t>
      </w:r>
      <w:r w:rsidRPr="00F51B76">
        <w:rPr>
          <w:rFonts w:ascii="Bookman Old Style" w:hAnsi="Bookman Old Style" w:cs="Times New Roman"/>
          <w:sz w:val="28"/>
          <w:szCs w:val="28"/>
          <w:lang w:val="el-GR"/>
        </w:rPr>
        <w:t xml:space="preserve"> </w:t>
      </w:r>
      <w:r w:rsidR="003D7CA6">
        <w:rPr>
          <w:rFonts w:ascii="Bookman Old Style" w:hAnsi="Bookman Old Style" w:cs="Times New Roman"/>
          <w:sz w:val="28"/>
          <w:szCs w:val="28"/>
          <w:lang w:val="el-GR"/>
        </w:rPr>
        <w:t>Οκτωβρίου</w:t>
      </w:r>
      <w:r w:rsidR="003D7CA6" w:rsidRPr="00F743C7">
        <w:rPr>
          <w:rFonts w:ascii="Bookman Old Style" w:hAnsi="Bookman Old Style" w:cs="Times New Roman"/>
          <w:sz w:val="28"/>
          <w:szCs w:val="28"/>
          <w:lang w:val="el-GR"/>
        </w:rPr>
        <w:t>, 2023</w:t>
      </w:r>
    </w:p>
    <w:p w14:paraId="2E3699F0" w14:textId="77777777" w:rsidR="003D7CA6" w:rsidRPr="00F743C7" w:rsidRDefault="003D7CA6" w:rsidP="006E1926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7FBC570A" w14:textId="77777777" w:rsidR="003D7CA6" w:rsidRPr="00F743C7" w:rsidRDefault="003D7CA6" w:rsidP="006E1926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[ΜΑΛΑΧΤΟΣ, ΙΩΑΝΝΙΔΗΣ, ΕΦΡΑΙΜ, Δ/στές]</w:t>
      </w:r>
    </w:p>
    <w:p w14:paraId="77640614" w14:textId="77777777" w:rsidR="003D7CA6" w:rsidRPr="00F743C7" w:rsidRDefault="003D7CA6" w:rsidP="006E1926">
      <w:pPr>
        <w:spacing w:line="240" w:lineRule="auto"/>
        <w:rPr>
          <w:rFonts w:ascii="Bookman Old Style" w:hAnsi="Bookman Old Style" w:cs="Times New Roman"/>
          <w:sz w:val="28"/>
          <w:szCs w:val="28"/>
          <w:lang w:val="el-GR"/>
        </w:rPr>
      </w:pPr>
    </w:p>
    <w:p w14:paraId="75C60E43" w14:textId="77777777" w:rsidR="003D7CA6" w:rsidRDefault="003D7CA6" w:rsidP="006E1926">
      <w:pPr>
        <w:tabs>
          <w:tab w:val="left" w:pos="3544"/>
        </w:tabs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sz w:val="28"/>
          <w:szCs w:val="28"/>
          <w:lang w:val="el-GR"/>
        </w:rPr>
        <w:t>ΝΕΟΦΥΤΟΣ</w:t>
      </w:r>
      <w:r w:rsidRPr="003D7CA6">
        <w:rPr>
          <w:rFonts w:ascii="Bookman Old Style" w:hAnsi="Bookman Old Style" w:cs="Times New Roman"/>
          <w:sz w:val="28"/>
          <w:szCs w:val="28"/>
          <w:lang w:val="el-GR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el-GR"/>
        </w:rPr>
        <w:t>Κ</w:t>
      </w:r>
      <w:r w:rsidRPr="003D7CA6">
        <w:rPr>
          <w:rFonts w:ascii="Bookman Old Style" w:hAnsi="Bookman Old Style" w:cs="Times New Roman"/>
          <w:sz w:val="28"/>
          <w:szCs w:val="28"/>
          <w:lang w:val="el-GR"/>
        </w:rPr>
        <w:t xml:space="preserve">. </w:t>
      </w:r>
      <w:r>
        <w:rPr>
          <w:rFonts w:ascii="Bookman Old Style" w:hAnsi="Bookman Old Style" w:cs="Times New Roman"/>
          <w:sz w:val="28"/>
          <w:szCs w:val="28"/>
          <w:lang w:val="el-GR"/>
        </w:rPr>
        <w:t>ΝΕΟΦΥΤΟΥ</w:t>
      </w:r>
    </w:p>
    <w:p w14:paraId="5CBCC900" w14:textId="3A7E6C50" w:rsidR="003D7CA6" w:rsidRPr="006E1926" w:rsidRDefault="003D7CA6" w:rsidP="006E1926">
      <w:pPr>
        <w:tabs>
          <w:tab w:val="left" w:pos="1985"/>
          <w:tab w:val="left" w:pos="5670"/>
        </w:tabs>
        <w:spacing w:before="240" w:after="0" w:line="240" w:lineRule="auto"/>
        <w:ind w:left="2694" w:hanging="426"/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3D7CA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3D7CA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3D7CA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3D7CA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Εφεσείο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ντας</w:t>
      </w:r>
      <w:r w:rsidRPr="006E1926">
        <w:rPr>
          <w:rFonts w:ascii="Bookman Old Style" w:hAnsi="Bookman Old Style" w:cs="Times New Roman"/>
          <w:i/>
          <w:sz w:val="28"/>
          <w:szCs w:val="28"/>
          <w:lang w:val="el-GR"/>
        </w:rPr>
        <w:t>,</w:t>
      </w:r>
    </w:p>
    <w:p w14:paraId="5177DD44" w14:textId="77777777" w:rsidR="003D7CA6" w:rsidRPr="006E1926" w:rsidRDefault="003D7CA6" w:rsidP="006E1926">
      <w:pPr>
        <w:spacing w:after="0" w:line="240" w:lineRule="auto"/>
        <w:jc w:val="center"/>
        <w:rPr>
          <w:rFonts w:ascii="Bookman Old Style" w:hAnsi="Bookman Old Style" w:cs="Times New Roman"/>
          <w:iCs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iCs/>
          <w:sz w:val="28"/>
          <w:szCs w:val="28"/>
          <w:lang w:val="el-GR"/>
        </w:rPr>
        <w:t>ν</w:t>
      </w:r>
      <w:r w:rsidRPr="006E1926">
        <w:rPr>
          <w:rFonts w:ascii="Bookman Old Style" w:hAnsi="Bookman Old Style" w:cs="Times New Roman"/>
          <w:iCs/>
          <w:sz w:val="28"/>
          <w:szCs w:val="28"/>
          <w:lang w:val="el-GR"/>
        </w:rPr>
        <w:t>.</w:t>
      </w:r>
    </w:p>
    <w:p w14:paraId="78A7B42F" w14:textId="77777777" w:rsidR="003D7CA6" w:rsidRPr="006E1926" w:rsidRDefault="003D7CA6" w:rsidP="006E1926">
      <w:pPr>
        <w:spacing w:after="0" w:line="240" w:lineRule="auto"/>
        <w:jc w:val="center"/>
        <w:rPr>
          <w:rFonts w:ascii="Bookman Old Style" w:hAnsi="Bookman Old Style" w:cs="Times New Roman"/>
          <w:iCs/>
          <w:sz w:val="28"/>
          <w:szCs w:val="28"/>
          <w:lang w:val="el-GR"/>
        </w:rPr>
      </w:pPr>
    </w:p>
    <w:p w14:paraId="7E70527D" w14:textId="2AF3001F" w:rsidR="003D7CA6" w:rsidRPr="006E1926" w:rsidRDefault="003D7CA6" w:rsidP="006E1926">
      <w:pPr>
        <w:spacing w:after="0" w:line="240" w:lineRule="auto"/>
        <w:jc w:val="center"/>
        <w:rPr>
          <w:rFonts w:ascii="Bookman Old Style" w:hAnsi="Bookman Old Style" w:cs="Times New Roman"/>
          <w:iCs/>
          <w:sz w:val="28"/>
          <w:szCs w:val="28"/>
          <w:lang w:val="el-GR"/>
        </w:rPr>
      </w:pPr>
      <w:r>
        <w:rPr>
          <w:rFonts w:ascii="Bookman Old Style" w:hAnsi="Bookman Old Style" w:cs="Times New Roman"/>
          <w:iCs/>
          <w:sz w:val="28"/>
          <w:szCs w:val="28"/>
          <w:lang w:val="el-GR"/>
        </w:rPr>
        <w:t>ΕΥΘΥΜΙΟΥ ΜΠΟΥΛΟΥΤΑ</w:t>
      </w:r>
    </w:p>
    <w:p w14:paraId="025394B6" w14:textId="77777777" w:rsidR="006E1926" w:rsidRDefault="003D7CA6" w:rsidP="006E1926">
      <w:pPr>
        <w:tabs>
          <w:tab w:val="left" w:pos="5670"/>
        </w:tabs>
        <w:spacing w:before="240" w:after="0" w:line="240" w:lineRule="auto"/>
        <w:rPr>
          <w:rFonts w:ascii="Bookman Old Style" w:hAnsi="Bookman Old Style" w:cs="Times New Roman"/>
          <w:i/>
          <w:sz w:val="28"/>
          <w:szCs w:val="28"/>
          <w:lang w:val="el-GR"/>
        </w:rPr>
      </w:pPr>
      <w:r w:rsidRPr="006E192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6E192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6E1926">
        <w:rPr>
          <w:rFonts w:ascii="Bookman Old Style" w:hAnsi="Bookman Old Style" w:cs="Times New Roman"/>
          <w:i/>
          <w:sz w:val="28"/>
          <w:szCs w:val="28"/>
          <w:lang w:val="el-GR"/>
        </w:rPr>
        <w:tab/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Εφεσίβλητ</w:t>
      </w:r>
      <w:r>
        <w:rPr>
          <w:rFonts w:ascii="Bookman Old Style" w:hAnsi="Bookman Old Style" w:cs="Times New Roman"/>
          <w:i/>
          <w:sz w:val="28"/>
          <w:szCs w:val="28"/>
          <w:lang w:val="el-GR"/>
        </w:rPr>
        <w:t>ου</w:t>
      </w:r>
      <w:r w:rsidRPr="00F743C7">
        <w:rPr>
          <w:rFonts w:ascii="Bookman Old Style" w:hAnsi="Bookman Old Style" w:cs="Times New Roman"/>
          <w:i/>
          <w:sz w:val="28"/>
          <w:szCs w:val="28"/>
          <w:lang w:val="el-GR"/>
        </w:rPr>
        <w:t>.</w:t>
      </w:r>
    </w:p>
    <w:p w14:paraId="0D8EF98B" w14:textId="325F051A" w:rsidR="003D7CA6" w:rsidRPr="00F743C7" w:rsidRDefault="003D7CA6" w:rsidP="006E1926">
      <w:pPr>
        <w:tabs>
          <w:tab w:val="left" w:pos="5670"/>
        </w:tabs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>……………………</w:t>
      </w:r>
    </w:p>
    <w:p w14:paraId="39BD4D41" w14:textId="77777777" w:rsidR="003D7CA6" w:rsidRDefault="003D7CA6" w:rsidP="006E1926">
      <w:pPr>
        <w:tabs>
          <w:tab w:val="left" w:pos="567"/>
        </w:tabs>
        <w:spacing w:after="0" w:line="240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sz w:val="28"/>
          <w:szCs w:val="28"/>
          <w:lang w:val="el-GR"/>
        </w:rPr>
        <w:tab/>
      </w:r>
    </w:p>
    <w:p w14:paraId="2D59E1EB" w14:textId="77777777" w:rsidR="006E1926" w:rsidRDefault="006E1926" w:rsidP="003D7CA6">
      <w:pPr>
        <w:tabs>
          <w:tab w:val="left" w:pos="567"/>
        </w:tabs>
        <w:spacing w:after="0" w:line="240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</w:p>
    <w:p w14:paraId="7323C263" w14:textId="734CEBC8" w:rsidR="003D7CA6" w:rsidRDefault="003D7CA6" w:rsidP="003D7CA6">
      <w:pPr>
        <w:tabs>
          <w:tab w:val="left" w:pos="567"/>
        </w:tabs>
        <w:spacing w:after="0" w:line="240" w:lineRule="auto"/>
        <w:ind w:left="567"/>
        <w:rPr>
          <w:rFonts w:ascii="Bookman Old Style" w:hAnsi="Bookman Old Style" w:cs="Times New Roman"/>
          <w:sz w:val="28"/>
          <w:szCs w:val="28"/>
          <w:lang w:val="el-GR"/>
        </w:rPr>
      </w:pP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Μ. Μενελάου, για Χ. Ιωαννίδου &amp; Μ. Μενελάου</w:t>
      </w:r>
      <w:r>
        <w:rPr>
          <w:rFonts w:ascii="Bookman Old Style" w:hAnsi="Bookman Old Style" w:cs="Times New Roman"/>
          <w:sz w:val="28"/>
          <w:szCs w:val="28"/>
          <w:lang w:val="el-GR"/>
        </w:rPr>
        <w:t xml:space="preserve">, για τον </w:t>
      </w:r>
      <w:r w:rsidR="006E1926">
        <w:rPr>
          <w:rFonts w:ascii="Bookman Old Style" w:hAnsi="Bookman Old Style" w:cs="Times New Roman"/>
          <w:sz w:val="28"/>
          <w:szCs w:val="28"/>
          <w:lang w:val="el-GR"/>
        </w:rPr>
        <w:t>Εφεσείοντα</w:t>
      </w:r>
      <w:r>
        <w:rPr>
          <w:rFonts w:ascii="Bookman Old Style" w:hAnsi="Bookman Old Style" w:cs="Times New Roman"/>
          <w:sz w:val="28"/>
          <w:szCs w:val="28"/>
          <w:lang w:val="el-GR"/>
        </w:rPr>
        <w:t>.</w:t>
      </w:r>
    </w:p>
    <w:p w14:paraId="582934C2" w14:textId="7C2A6C63" w:rsidR="003D7CA6" w:rsidRPr="006E1926" w:rsidRDefault="003D7CA6" w:rsidP="003D7CA6">
      <w:pPr>
        <w:spacing w:after="0" w:line="240" w:lineRule="auto"/>
        <w:ind w:firstLine="567"/>
        <w:rPr>
          <w:rFonts w:ascii="Bookman Old Style" w:hAnsi="Bookman Old Style" w:cs="Times New Roman"/>
          <w:sz w:val="28"/>
          <w:szCs w:val="28"/>
          <w:lang w:val="el-GR"/>
        </w:rPr>
      </w:pP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Ο. Καΐλ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η</w:t>
      </w: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>ς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 xml:space="preserve">, </w:t>
      </w: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για Χαβιαράς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 xml:space="preserve"> &amp;</w:t>
      </w: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 xml:space="preserve"> Φιλίππου Δ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.</w:t>
      </w: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Ε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.</w:t>
      </w: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>Π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.</w:t>
      </w:r>
      <w:r w:rsidRPr="003D7CA6">
        <w:rPr>
          <w:rFonts w:ascii="Bookman Old Style" w:hAnsi="Bookman Old Style" w:cs="Times New Roman"/>
          <w:i/>
          <w:iCs/>
          <w:sz w:val="28"/>
          <w:szCs w:val="28"/>
          <w:lang w:val="el-GR"/>
        </w:rPr>
        <w:t>Ε</w:t>
      </w:r>
      <w:r>
        <w:rPr>
          <w:rFonts w:ascii="Bookman Old Style" w:hAnsi="Bookman Old Style" w:cs="Times New Roman"/>
          <w:i/>
          <w:iCs/>
          <w:sz w:val="28"/>
          <w:szCs w:val="28"/>
          <w:lang w:val="el-GR"/>
        </w:rPr>
        <w:t>.</w:t>
      </w:r>
      <w:r w:rsidR="006E1926">
        <w:rPr>
          <w:rFonts w:ascii="Bookman Old Style" w:hAnsi="Bookman Old Style" w:cs="Times New Roman"/>
          <w:sz w:val="28"/>
          <w:szCs w:val="28"/>
          <w:lang w:val="el-GR"/>
        </w:rPr>
        <w:t>, για τον Εφεσίβλητο.</w:t>
      </w:r>
    </w:p>
    <w:p w14:paraId="6BD04EF3" w14:textId="77777777" w:rsidR="003D7CA6" w:rsidRDefault="003D7CA6" w:rsidP="006E1926">
      <w:pPr>
        <w:tabs>
          <w:tab w:val="left" w:pos="567"/>
        </w:tabs>
        <w:spacing w:after="0" w:line="240" w:lineRule="auto"/>
        <w:rPr>
          <w:rFonts w:ascii="Bookman Old Style" w:hAnsi="Bookman Old Style" w:cs="Times New Roman"/>
          <w:b/>
          <w:sz w:val="28"/>
          <w:szCs w:val="28"/>
          <w:lang w:val="el-GR"/>
        </w:rPr>
      </w:pPr>
    </w:p>
    <w:p w14:paraId="71167DF0" w14:textId="77777777" w:rsidR="006E1926" w:rsidRDefault="006E1926" w:rsidP="003D7CA6">
      <w:pPr>
        <w:tabs>
          <w:tab w:val="left" w:pos="567"/>
        </w:tabs>
        <w:spacing w:after="0" w:line="276" w:lineRule="auto"/>
        <w:rPr>
          <w:rFonts w:ascii="Bookman Old Style" w:hAnsi="Bookman Old Style" w:cs="Times New Roman"/>
          <w:b/>
          <w:sz w:val="28"/>
          <w:szCs w:val="28"/>
          <w:lang w:val="el-GR"/>
        </w:rPr>
      </w:pPr>
    </w:p>
    <w:p w14:paraId="38C09EA8" w14:textId="675B058A" w:rsidR="003D7CA6" w:rsidRPr="00F743C7" w:rsidRDefault="003D7CA6" w:rsidP="003D7CA6">
      <w:pPr>
        <w:tabs>
          <w:tab w:val="left" w:pos="567"/>
        </w:tabs>
        <w:spacing w:after="0"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b/>
          <w:sz w:val="28"/>
          <w:szCs w:val="28"/>
          <w:lang w:val="el-GR"/>
        </w:rPr>
        <w:t>ΜΑΛΑΧΤΟΣ, Δ.:</w:t>
      </w:r>
      <w:r w:rsidRPr="00F743C7">
        <w:rPr>
          <w:rFonts w:ascii="Bookman Old Style" w:hAnsi="Bookman Old Style" w:cs="Times New Roman"/>
          <w:sz w:val="28"/>
          <w:szCs w:val="28"/>
          <w:lang w:val="el-GR"/>
        </w:rPr>
        <w:t xml:space="preserve"> Η απόφαση του Δικαστηρίου είναι ομόφωνη και</w:t>
      </w:r>
    </w:p>
    <w:p w14:paraId="509377E2" w14:textId="77777777" w:rsidR="003D7CA6" w:rsidRPr="00F743C7" w:rsidRDefault="003D7CA6" w:rsidP="003D7CA6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sz w:val="28"/>
          <w:szCs w:val="28"/>
          <w:lang w:val="el-GR"/>
        </w:rPr>
        <w:t xml:space="preserve"> θα δοθεί από την Εφραίμ, Δ.</w:t>
      </w:r>
    </w:p>
    <w:p w14:paraId="3F70E6BD" w14:textId="77777777" w:rsidR="006E1926" w:rsidRPr="00F743C7" w:rsidRDefault="006E1926" w:rsidP="003D7CA6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58C578E4" w14:textId="77777777" w:rsidR="003D7CA6" w:rsidRDefault="003D7CA6" w:rsidP="003D7CA6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  <w:r w:rsidRPr="00F743C7"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  <w:t>Α Π Ο Φ Α Σ Η</w:t>
      </w:r>
    </w:p>
    <w:p w14:paraId="02707520" w14:textId="77777777" w:rsidR="003D7CA6" w:rsidRPr="00F743C7" w:rsidRDefault="003D7CA6" w:rsidP="003D7CA6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657701E0" w14:textId="162AC8A7" w:rsidR="004F1C86" w:rsidRDefault="003D7CA6" w:rsidP="003D7CA6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 w:rsidRPr="00F743C7">
        <w:rPr>
          <w:rFonts w:ascii="Bookman Old Style" w:hAnsi="Bookman Old Style" w:cs="Times New Roman"/>
          <w:b/>
          <w:sz w:val="28"/>
          <w:szCs w:val="28"/>
          <w:lang w:val="el-GR"/>
        </w:rPr>
        <w:t>ΕΦΡΑΙΜ, Δ.:</w:t>
      </w:r>
      <w:r>
        <w:rPr>
          <w:rFonts w:ascii="Bookman Old Style" w:hAnsi="Bookman Old Style" w:cs="Times New Roman"/>
          <w:b/>
          <w:sz w:val="28"/>
          <w:szCs w:val="28"/>
          <w:lang w:val="el-GR"/>
        </w:rPr>
        <w:t xml:space="preserve"> </w:t>
      </w:r>
      <w:r w:rsidR="00FF6DE4">
        <w:rPr>
          <w:rFonts w:ascii="Bookman Old Style" w:hAnsi="Bookman Old Style"/>
          <w:sz w:val="28"/>
          <w:szCs w:val="28"/>
          <w:lang w:val="el-GR"/>
        </w:rPr>
        <w:t xml:space="preserve">Η παρούσα Έφεση στρέφεται εναντίον ενδιάμεσης απόφασης με την οποία παραμερίστηκε η επίδοση της </w:t>
      </w:r>
      <w:r w:rsidR="00C94C8B">
        <w:rPr>
          <w:rFonts w:ascii="Bookman Old Style" w:hAnsi="Bookman Old Style"/>
          <w:sz w:val="28"/>
          <w:szCs w:val="28"/>
          <w:lang w:val="el-GR"/>
        </w:rPr>
        <w:t>α</w:t>
      </w:r>
      <w:r w:rsidR="00FF6DE4">
        <w:rPr>
          <w:rFonts w:ascii="Bookman Old Style" w:hAnsi="Bookman Old Style"/>
          <w:sz w:val="28"/>
          <w:szCs w:val="28"/>
          <w:lang w:val="el-GR"/>
        </w:rPr>
        <w:t>γωγής στον Εφεσίβλητο</w:t>
      </w:r>
      <w:r w:rsidR="0099066D">
        <w:rPr>
          <w:rFonts w:ascii="Bookman Old Style" w:hAnsi="Bookman Old Style"/>
          <w:sz w:val="28"/>
          <w:szCs w:val="28"/>
          <w:lang w:val="el-GR"/>
        </w:rPr>
        <w:t xml:space="preserve"> στην Ελλάδα</w:t>
      </w:r>
      <w:r w:rsidR="00FF6DE4">
        <w:rPr>
          <w:rFonts w:ascii="Bookman Old Style" w:hAnsi="Bookman Old Style"/>
          <w:sz w:val="28"/>
          <w:szCs w:val="28"/>
          <w:lang w:val="el-GR"/>
        </w:rPr>
        <w:t xml:space="preserve">. Η επίδοση έγινε </w:t>
      </w:r>
      <w:r w:rsidR="00383FF8">
        <w:rPr>
          <w:rFonts w:ascii="Bookman Old Style" w:hAnsi="Bookman Old Style"/>
          <w:sz w:val="28"/>
          <w:szCs w:val="28"/>
          <w:lang w:val="el-GR"/>
        </w:rPr>
        <w:t xml:space="preserve">κατόπιν δικαστικού </w:t>
      </w:r>
      <w:r w:rsidR="00FF6DE4">
        <w:rPr>
          <w:rFonts w:ascii="Bookman Old Style" w:hAnsi="Bookman Old Style"/>
          <w:sz w:val="28"/>
          <w:szCs w:val="28"/>
          <w:lang w:val="el-GR"/>
        </w:rPr>
        <w:lastRenderedPageBreak/>
        <w:t>διατάγματος το οποίο εξεδόθη στα πλαίσια μονομερούς αίτησης</w:t>
      </w:r>
      <w:r w:rsidR="003C7024">
        <w:rPr>
          <w:rFonts w:ascii="Bookman Old Style" w:hAnsi="Bookman Old Style"/>
          <w:sz w:val="28"/>
          <w:szCs w:val="28"/>
          <w:lang w:val="el-GR"/>
        </w:rPr>
        <w:t>. Με το εν λόγω διάταγμα</w:t>
      </w:r>
      <w:r w:rsidR="00FF6DE4">
        <w:rPr>
          <w:rFonts w:ascii="Bookman Old Style" w:hAnsi="Bookman Old Style"/>
          <w:sz w:val="28"/>
          <w:szCs w:val="28"/>
          <w:lang w:val="el-GR"/>
        </w:rPr>
        <w:t xml:space="preserve"> δίδετο άδεια για </w:t>
      </w:r>
      <w:r w:rsidR="005C7A37">
        <w:rPr>
          <w:rFonts w:ascii="Bookman Old Style" w:hAnsi="Bookman Old Style"/>
          <w:sz w:val="28"/>
          <w:szCs w:val="28"/>
          <w:lang w:val="el-GR"/>
        </w:rPr>
        <w:t xml:space="preserve">την </w:t>
      </w:r>
      <w:r w:rsidR="00FF6DE4">
        <w:rPr>
          <w:rFonts w:ascii="Bookman Old Style" w:hAnsi="Bookman Old Style"/>
          <w:sz w:val="28"/>
          <w:szCs w:val="28"/>
          <w:lang w:val="el-GR"/>
        </w:rPr>
        <w:t xml:space="preserve">επίδοση </w:t>
      </w:r>
      <w:r w:rsidR="00C93B92">
        <w:rPr>
          <w:rFonts w:ascii="Bookman Old Style" w:hAnsi="Bookman Old Style"/>
          <w:sz w:val="28"/>
          <w:szCs w:val="28"/>
          <w:lang w:val="el-GR"/>
        </w:rPr>
        <w:t xml:space="preserve">ειδοποίησης </w:t>
      </w:r>
      <w:r w:rsidR="00FF6DE4">
        <w:rPr>
          <w:rFonts w:ascii="Bookman Old Style" w:hAnsi="Bookman Old Style"/>
          <w:sz w:val="28"/>
          <w:szCs w:val="28"/>
          <w:lang w:val="el-GR"/>
        </w:rPr>
        <w:t xml:space="preserve">του κλητηρίου εντάλματος </w:t>
      </w:r>
      <w:r w:rsidR="00C93B92">
        <w:rPr>
          <w:rFonts w:ascii="Bookman Old Style" w:hAnsi="Bookman Old Style"/>
          <w:sz w:val="28"/>
          <w:szCs w:val="28"/>
          <w:lang w:val="el-GR"/>
        </w:rPr>
        <w:t xml:space="preserve">και του κλητηρίου εντάλματος </w:t>
      </w:r>
      <w:r w:rsidR="00FF6DE4">
        <w:rPr>
          <w:rFonts w:ascii="Bookman Old Style" w:hAnsi="Bookman Old Style"/>
          <w:sz w:val="28"/>
          <w:szCs w:val="28"/>
          <w:lang w:val="el-GR"/>
        </w:rPr>
        <w:t xml:space="preserve">εκτός δικαιοδοσίας και για την υποκατάστατη επίδοση του, καθώς επίσης προνοούσε όπως η επίδοση γίνει σύμφωνα με τις πρόνοιες του </w:t>
      </w:r>
      <w:r w:rsidR="00FF6DE4" w:rsidRPr="005C7A3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άρθρου 14 </w:t>
      </w:r>
      <w:r w:rsidR="00FF6DE4" w:rsidRPr="00BD2476">
        <w:rPr>
          <w:rFonts w:ascii="Bookman Old Style" w:hAnsi="Bookman Old Style"/>
          <w:sz w:val="28"/>
          <w:szCs w:val="28"/>
          <w:lang w:val="el-GR"/>
        </w:rPr>
        <w:t>του</w:t>
      </w:r>
      <w:r w:rsidR="00FF6DE4" w:rsidRPr="005C7A3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E3039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Κανονισμού (ΕΚ) αριθμ. 1393/2007 </w:t>
      </w:r>
      <w:r w:rsidR="00FF6DE4" w:rsidRPr="005C7A3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περί Ε</w:t>
      </w:r>
      <w:r w:rsidR="005C7A37" w:rsidRPr="005C7A3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πιδόσεως και Κοινοποιήσεως στα Κράτη Μέλη Δικαστικών και Εξωδίκων Πράξεων σε Αστικές ή Εμπορικές </w:t>
      </w:r>
      <w:r w:rsidR="00EC23C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Υ</w:t>
      </w:r>
      <w:r w:rsidR="005C7A37" w:rsidRPr="005C7A3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ποθέσεις</w:t>
      </w:r>
      <w:r w:rsidR="005C7A37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B803E8">
        <w:rPr>
          <w:rFonts w:ascii="Bookman Old Style" w:hAnsi="Bookman Old Style"/>
          <w:sz w:val="28"/>
          <w:szCs w:val="28"/>
          <w:lang w:val="el-GR"/>
        </w:rPr>
        <w:t xml:space="preserve">Είναι κοινό έδαφος ότι στην υπό κρίση περίπτωση ο Εφεσείων (ενάγων) προέβη στην επίδοση μέσω υπηρεσίας ταχυμεταφορών </w:t>
      </w:r>
      <w:r w:rsidR="00B803E8" w:rsidRPr="00722EB3">
        <w:rPr>
          <w:rFonts w:ascii="Bookman Old Style" w:hAnsi="Bookman Old Style"/>
          <w:sz w:val="28"/>
          <w:szCs w:val="28"/>
          <w:lang w:val="el-GR"/>
        </w:rPr>
        <w:t>(</w:t>
      </w:r>
      <w:r w:rsidR="00B803E8">
        <w:rPr>
          <w:rFonts w:ascii="Bookman Old Style" w:hAnsi="Bookman Old Style"/>
          <w:sz w:val="28"/>
          <w:szCs w:val="28"/>
        </w:rPr>
        <w:t>courier</w:t>
      </w:r>
      <w:r w:rsidR="00B803E8" w:rsidRPr="00722EB3">
        <w:rPr>
          <w:rFonts w:ascii="Bookman Old Style" w:hAnsi="Bookman Old Style"/>
          <w:sz w:val="28"/>
          <w:szCs w:val="28"/>
          <w:lang w:val="el-GR"/>
        </w:rPr>
        <w:t>)</w:t>
      </w:r>
      <w:r w:rsidR="00B803E8"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4C5E8A32" w14:textId="16FC3B5B" w:rsidR="000C64A0" w:rsidRDefault="008E49BA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πρωτόδικο Δικαστήριο </w:t>
      </w:r>
      <w:r w:rsidR="00D00BCD">
        <w:rPr>
          <w:rFonts w:ascii="Bookman Old Style" w:hAnsi="Bookman Old Style"/>
          <w:sz w:val="28"/>
          <w:szCs w:val="28"/>
          <w:lang w:val="el-GR"/>
        </w:rPr>
        <w:t xml:space="preserve">έκρινε ότι </w:t>
      </w:r>
      <w:r>
        <w:rPr>
          <w:rFonts w:ascii="Bookman Old Style" w:hAnsi="Bookman Old Style"/>
          <w:sz w:val="28"/>
          <w:szCs w:val="28"/>
          <w:lang w:val="el-GR"/>
        </w:rPr>
        <w:t>αφενός η επίδοση έγινε μέσω υπηρεσίας ταχυμεταφορών η οποία δεν είναι επιτρεπτή μέθοδος επίδοσης με βάση το Ελληνικό δίκαιο</w:t>
      </w:r>
      <w:r w:rsidR="00A40221">
        <w:rPr>
          <w:rFonts w:ascii="Bookman Old Style" w:hAnsi="Bookman Old Style"/>
          <w:sz w:val="28"/>
          <w:szCs w:val="28"/>
          <w:lang w:val="el-GR"/>
        </w:rPr>
        <w:t xml:space="preserve"> και αφετέρου δεν υπήρχε μαρτυρία ως προς </w:t>
      </w:r>
      <w:r w:rsidR="00D1368E"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A40221">
        <w:rPr>
          <w:rFonts w:ascii="Bookman Old Style" w:hAnsi="Bookman Old Style"/>
          <w:sz w:val="28"/>
          <w:szCs w:val="28"/>
          <w:lang w:val="el-GR"/>
        </w:rPr>
        <w:t xml:space="preserve">ποια έγγραφα επιδόθηκαν στον Εφεσίβλητο. </w:t>
      </w:r>
      <w:r w:rsidR="00DE1738">
        <w:rPr>
          <w:rFonts w:ascii="Bookman Old Style" w:hAnsi="Bookman Old Style"/>
          <w:sz w:val="28"/>
          <w:szCs w:val="28"/>
          <w:lang w:val="el-GR"/>
        </w:rPr>
        <w:t>Κατέληξε επίσης ότι η επίδοση έπρεπε να είχε γίνει με βάση το άρθρο 4 του ΕΚ 1393/2007 και τη Δ.6 θ.6 των περί Πολιτικής Δικονομίας Διαδικαστικών Κανονισμών και ότι η διενεργηθείσα επίδοση ήταν ουσιαστικά παράτυπη και ως τέτοια έπρεπε να παραμεριστεί.</w:t>
      </w:r>
    </w:p>
    <w:p w14:paraId="1CF194C3" w14:textId="28BC2AA9" w:rsidR="00FF6DE4" w:rsidRDefault="00AE6497" w:rsidP="003D7CA6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Ο Εφεσείων προσβάλλει την εν λόγω ενδιάμεση απόφαση με συνολικά οκτώ λόγους </w:t>
      </w:r>
      <w:r w:rsidR="00FE6DB0">
        <w:rPr>
          <w:rFonts w:ascii="Bookman Old Style" w:hAnsi="Bookman Old Style"/>
          <w:sz w:val="28"/>
          <w:szCs w:val="28"/>
          <w:lang w:val="el-GR"/>
        </w:rPr>
        <w:t>έ</w:t>
      </w:r>
      <w:r>
        <w:rPr>
          <w:rFonts w:ascii="Bookman Old Style" w:hAnsi="Bookman Old Style"/>
          <w:sz w:val="28"/>
          <w:szCs w:val="28"/>
          <w:lang w:val="el-GR"/>
        </w:rPr>
        <w:t>φεσης</w:t>
      </w:r>
      <w:r w:rsidR="00FE6DB0">
        <w:rPr>
          <w:rFonts w:ascii="Bookman Old Style" w:hAnsi="Bookman Old Style"/>
          <w:sz w:val="28"/>
          <w:szCs w:val="28"/>
          <w:lang w:val="el-GR"/>
        </w:rPr>
        <w:t xml:space="preserve">, κάποιοι εκ των οποίων συνδέονται μεταξύ τους. </w:t>
      </w:r>
      <w:r w:rsidR="00FE6DB0" w:rsidRPr="001030C5">
        <w:rPr>
          <w:rFonts w:ascii="Bookman Old Style" w:hAnsi="Bookman Old Style"/>
          <w:sz w:val="28"/>
          <w:szCs w:val="28"/>
          <w:lang w:val="el-GR"/>
        </w:rPr>
        <w:t>Οι λόγοι έφεσης</w:t>
      </w:r>
      <w:r w:rsidR="00EF72BC" w:rsidRPr="001030C5">
        <w:rPr>
          <w:rFonts w:ascii="Bookman Old Style" w:hAnsi="Bookman Old Style"/>
          <w:sz w:val="28"/>
          <w:szCs w:val="28"/>
          <w:lang w:val="el-GR"/>
        </w:rPr>
        <w:t xml:space="preserve"> θα τύχουν εξέτασης όχι με τη σειρά προβολής τους αλλά όπως κρίνουμε ορθότερο.</w:t>
      </w:r>
      <w:r w:rsidR="00EF72BC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389F4AE1" w14:textId="234CACC4" w:rsidR="00EF72BC" w:rsidRDefault="00454379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Pr="005A68F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F7656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="001F7656" w:rsidRPr="001F765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ΕΚ 1393/07</w:t>
      </w:r>
      <w:r w:rsidR="001F7656" w:rsidRPr="001F7656">
        <w:rPr>
          <w:rFonts w:ascii="Bookman Old Style" w:hAnsi="Bookman Old Style"/>
          <w:sz w:val="28"/>
          <w:szCs w:val="28"/>
          <w:lang w:val="el-GR"/>
        </w:rPr>
        <w:t>, στο οποίο γίνεται αναφορά στο διάταγμα,</w:t>
      </w:r>
      <w:r w:rsidR="001F7656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προνοεί </w:t>
      </w:r>
      <w:r w:rsidR="005A68F8">
        <w:rPr>
          <w:rFonts w:ascii="Bookman Old Style" w:hAnsi="Bookman Old Style"/>
          <w:sz w:val="28"/>
          <w:szCs w:val="28"/>
          <w:lang w:val="el-GR"/>
        </w:rPr>
        <w:t>όπως «</w:t>
      </w:r>
      <w:r w:rsidR="00833A79" w:rsidRPr="00833A79">
        <w:rPr>
          <w:rFonts w:ascii="Bookman Old Style" w:hAnsi="Bookman Old Style"/>
          <w:i/>
          <w:iCs/>
          <w:sz w:val="28"/>
          <w:szCs w:val="28"/>
          <w:lang w:val="el-GR"/>
        </w:rPr>
        <w:t xml:space="preserve">Κάθε κράτος μέλος δύναται να </w:t>
      </w:r>
      <w:r w:rsidR="00C52E1F">
        <w:rPr>
          <w:rFonts w:ascii="Bookman Old Style" w:hAnsi="Bookman Old Style"/>
          <w:i/>
          <w:iCs/>
          <w:sz w:val="28"/>
          <w:szCs w:val="28"/>
          <w:lang w:val="el-GR"/>
        </w:rPr>
        <w:t xml:space="preserve">επιδίδει ή να κοινοποιεί δικαστικές πράξεις </w:t>
      </w:r>
      <w:r w:rsidR="005A68F8" w:rsidRPr="005A68F8">
        <w:rPr>
          <w:rFonts w:ascii="Bookman Old Style" w:hAnsi="Bookman Old Style"/>
          <w:i/>
          <w:iCs/>
          <w:sz w:val="28"/>
          <w:szCs w:val="28"/>
          <w:lang w:val="el-GR"/>
        </w:rPr>
        <w:t>απευθείας διά των ταχυδρομικών υπηρεσιών σε κατοίκους άλλου κράτους μέλους με συστημένη επιστολή με απόδειξη παραλαβής ή ισοδύναμο έγγραφο</w:t>
      </w:r>
      <w:r w:rsidR="005A68F8">
        <w:rPr>
          <w:rFonts w:ascii="Bookman Old Style" w:hAnsi="Bookman Old Style"/>
          <w:sz w:val="28"/>
          <w:szCs w:val="28"/>
          <w:lang w:val="el-GR"/>
        </w:rPr>
        <w:t xml:space="preserve">». </w:t>
      </w:r>
    </w:p>
    <w:p w14:paraId="1A2B2E6E" w14:textId="77777777" w:rsidR="00913A16" w:rsidRDefault="00D04F1D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πρωτόδικο Δικαστήριο ορθώς επισήμανε ότι οι Ευρωπαϊκοί Κανονισμοί έχουν αυξημένη ισχύ έναντι </w:t>
      </w:r>
      <w:r w:rsidR="00596178">
        <w:rPr>
          <w:rFonts w:ascii="Bookman Old Style" w:hAnsi="Bookman Old Style"/>
          <w:sz w:val="28"/>
          <w:szCs w:val="28"/>
          <w:lang w:val="el-GR"/>
        </w:rPr>
        <w:t xml:space="preserve">του </w:t>
      </w:r>
      <w:r>
        <w:rPr>
          <w:rFonts w:ascii="Bookman Old Style" w:hAnsi="Bookman Old Style"/>
          <w:sz w:val="28"/>
          <w:szCs w:val="28"/>
          <w:lang w:val="el-GR"/>
        </w:rPr>
        <w:t>ημεδαπού δικαίου</w:t>
      </w:r>
      <w:r w:rsidR="00535BCE">
        <w:rPr>
          <w:rFonts w:ascii="Bookman Old Style" w:hAnsi="Bookman Old Style"/>
          <w:sz w:val="28"/>
          <w:szCs w:val="28"/>
          <w:lang w:val="el-GR"/>
        </w:rPr>
        <w:t xml:space="preserve">, με παραπομπή στην υπόθεση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Ironhold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Estates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Ltd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,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T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/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A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Henipa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Hotel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Travelworld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Vacation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</w:rPr>
        <w:t>Ltd</w:t>
      </w:r>
      <w:r w:rsidR="00535BCE" w:rsidRPr="00535BC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(2010) 1(Α) Α.Α.Δ. 452</w:t>
      </w:r>
      <w:r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4C541B75" w14:textId="01B7C6B7" w:rsidR="00913A16" w:rsidRDefault="00D04F1D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Όπως αναφέρεται στο προοίμιο του Κανονισμού</w:t>
      </w:r>
      <w:r w:rsidR="00B77043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B77043" w:rsidRPr="00B7704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παράγραφος (2)</w:t>
      </w:r>
      <w:r>
        <w:rPr>
          <w:rFonts w:ascii="Bookman Old Style" w:hAnsi="Bookman Old Style"/>
          <w:sz w:val="28"/>
          <w:szCs w:val="28"/>
          <w:lang w:val="el-GR"/>
        </w:rPr>
        <w:t xml:space="preserve">, αυτός θεσπίστηκε με στόχο την καλύτερη και ταχύτερη διαβίβαση </w:t>
      </w:r>
      <w:r w:rsidR="00CF1DB5">
        <w:rPr>
          <w:rFonts w:ascii="Bookman Old Style" w:hAnsi="Bookman Old Style"/>
          <w:sz w:val="28"/>
          <w:szCs w:val="28"/>
          <w:lang w:val="el-GR"/>
        </w:rPr>
        <w:t xml:space="preserve">μεταξύ των κρατών μελών </w:t>
      </w:r>
      <w:r>
        <w:rPr>
          <w:rFonts w:ascii="Bookman Old Style" w:hAnsi="Bookman Old Style"/>
          <w:sz w:val="28"/>
          <w:szCs w:val="28"/>
          <w:lang w:val="el-GR"/>
        </w:rPr>
        <w:t xml:space="preserve">των δικαστικών και εξώδικων πράξεων που επιδίδονται και κοινοποιούνται σε αστικές και εμπορικές υποθέσεις. </w:t>
      </w:r>
      <w:r w:rsidR="007E0AA7">
        <w:rPr>
          <w:rFonts w:ascii="Bookman Old Style" w:hAnsi="Bookman Old Style"/>
          <w:sz w:val="28"/>
          <w:szCs w:val="28"/>
          <w:lang w:val="el-GR"/>
        </w:rPr>
        <w:t xml:space="preserve">Αυτό τονίστηκε και </w:t>
      </w:r>
      <w:r w:rsidR="00571BE1">
        <w:rPr>
          <w:rFonts w:ascii="Bookman Old Style" w:hAnsi="Bookman Old Style"/>
          <w:sz w:val="28"/>
          <w:szCs w:val="28"/>
          <w:lang w:val="el-GR"/>
        </w:rPr>
        <w:t xml:space="preserve">στις υποθέσεις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K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C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Quality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Investments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Ltd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Shammusi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-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Deen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Alabi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Shitta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Bey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(2014) 1(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A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) </w:t>
      </w:r>
      <w:r w:rsidR="00571BE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Α.Α.Δ</w:t>
      </w:r>
      <w:r w:rsidR="00571BE1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475</w:t>
      </w:r>
      <w:r w:rsidR="00571BE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71BE1" w:rsidRPr="00A62B19">
        <w:rPr>
          <w:rFonts w:ascii="Bookman Old Style" w:hAnsi="Bookman Old Style"/>
          <w:sz w:val="28"/>
          <w:szCs w:val="28"/>
          <w:lang w:val="el-GR"/>
        </w:rPr>
        <w:t>και</w:t>
      </w:r>
      <w:r w:rsidR="00571BE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Alpha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Bank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Cyprus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Ltd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Si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Senh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Dau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κ.ά. (2013) 1</w:t>
      </w:r>
      <w:r w:rsidR="00AC5D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(Γ)</w:t>
      </w:r>
      <w:r w:rsidR="007E0AA7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Α.Α.Δ. 1935</w:t>
      </w:r>
      <w:r w:rsidR="007E0AA7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BD013C">
        <w:rPr>
          <w:rFonts w:ascii="Bookman Old Style" w:hAnsi="Bookman Old Style"/>
          <w:sz w:val="28"/>
          <w:szCs w:val="28"/>
          <w:lang w:val="el-GR"/>
        </w:rPr>
        <w:t xml:space="preserve">Το πρωτόδικο Δικαστήριο αναφέρθηκε </w:t>
      </w:r>
      <w:r w:rsidR="00E97BC1">
        <w:rPr>
          <w:rFonts w:ascii="Bookman Old Style" w:hAnsi="Bookman Old Style"/>
          <w:sz w:val="28"/>
          <w:szCs w:val="28"/>
          <w:lang w:val="el-GR"/>
        </w:rPr>
        <w:t xml:space="preserve">επίσης </w:t>
      </w:r>
      <w:r w:rsidR="00BD013C">
        <w:rPr>
          <w:rFonts w:ascii="Bookman Old Style" w:hAnsi="Bookman Old Style"/>
          <w:sz w:val="28"/>
          <w:szCs w:val="28"/>
          <w:lang w:val="el-GR"/>
        </w:rPr>
        <w:t xml:space="preserve">στην υπόθεση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Consortia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Europe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Ltd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Fregata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Holdings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</w:rPr>
        <w:t>Ltd</w:t>
      </w:r>
      <w:r w:rsidR="00C865C8" w:rsidRPr="00C865C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(2014) 1(Γ) Α.Α.Δ. 2308</w:t>
      </w:r>
      <w:r w:rsidR="00C865C8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B64B64">
        <w:rPr>
          <w:rFonts w:ascii="Bookman Old Style" w:hAnsi="Bookman Old Style"/>
          <w:sz w:val="28"/>
          <w:szCs w:val="28"/>
          <w:lang w:val="el-GR"/>
        </w:rPr>
        <w:t xml:space="preserve">στην οποία </w:t>
      </w:r>
      <w:r w:rsidR="00913A16">
        <w:rPr>
          <w:rFonts w:ascii="Bookman Old Style" w:hAnsi="Bookman Old Style"/>
          <w:sz w:val="28"/>
          <w:szCs w:val="28"/>
          <w:lang w:val="el-GR"/>
        </w:rPr>
        <w:t xml:space="preserve">λέχθηκε </w:t>
      </w:r>
      <w:r w:rsidR="00B64B64">
        <w:rPr>
          <w:rFonts w:ascii="Bookman Old Style" w:hAnsi="Bookman Old Style"/>
          <w:sz w:val="28"/>
          <w:szCs w:val="28"/>
          <w:lang w:val="el-GR"/>
        </w:rPr>
        <w:t xml:space="preserve">ότι ο </w:t>
      </w:r>
      <w:r w:rsidR="00605D8D">
        <w:rPr>
          <w:rFonts w:ascii="Bookman Old Style" w:hAnsi="Bookman Old Style"/>
          <w:sz w:val="28"/>
          <w:szCs w:val="28"/>
          <w:lang w:val="el-GR"/>
        </w:rPr>
        <w:t xml:space="preserve">σκοπός του </w:t>
      </w:r>
      <w:r w:rsidR="00B64B64" w:rsidRPr="00B64B6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ΕΚ 1393/07</w:t>
      </w:r>
      <w:r w:rsidR="00B64B64">
        <w:rPr>
          <w:rFonts w:ascii="Bookman Old Style" w:hAnsi="Bookman Old Style"/>
          <w:sz w:val="28"/>
          <w:szCs w:val="28"/>
          <w:lang w:val="el-GR"/>
        </w:rPr>
        <w:t xml:space="preserve"> δεν </w:t>
      </w:r>
      <w:r w:rsidR="00605D8D">
        <w:rPr>
          <w:rFonts w:ascii="Bookman Old Style" w:hAnsi="Bookman Old Style"/>
          <w:sz w:val="28"/>
          <w:szCs w:val="28"/>
          <w:lang w:val="el-GR"/>
        </w:rPr>
        <w:t>είναι να καθιερώ</w:t>
      </w:r>
      <w:r w:rsidR="00913A16">
        <w:rPr>
          <w:rFonts w:ascii="Bookman Old Style" w:hAnsi="Bookman Old Style"/>
          <w:sz w:val="28"/>
          <w:szCs w:val="28"/>
          <w:lang w:val="el-GR"/>
        </w:rPr>
        <w:t>σ</w:t>
      </w:r>
      <w:r w:rsidR="00605D8D">
        <w:rPr>
          <w:rFonts w:ascii="Bookman Old Style" w:hAnsi="Bookman Old Style"/>
          <w:sz w:val="28"/>
          <w:szCs w:val="28"/>
          <w:lang w:val="el-GR"/>
        </w:rPr>
        <w:t xml:space="preserve">ει ένα αποκλειστικό τρόπο ή </w:t>
      </w:r>
      <w:r w:rsidR="00666873">
        <w:rPr>
          <w:rFonts w:ascii="Bookman Old Style" w:hAnsi="Bookman Old Style"/>
          <w:sz w:val="28"/>
          <w:szCs w:val="28"/>
          <w:lang w:val="el-GR"/>
        </w:rPr>
        <w:t>μέσ</w:t>
      </w:r>
      <w:r w:rsidR="009D5B5D">
        <w:rPr>
          <w:rFonts w:ascii="Bookman Old Style" w:hAnsi="Bookman Old Style"/>
          <w:sz w:val="28"/>
          <w:szCs w:val="28"/>
        </w:rPr>
        <w:t>o</w:t>
      </w:r>
      <w:r w:rsidR="00BB3483" w:rsidRPr="00BB348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BB3483">
        <w:rPr>
          <w:rFonts w:ascii="Bookman Old Style" w:hAnsi="Bookman Old Style"/>
          <w:sz w:val="28"/>
          <w:szCs w:val="28"/>
          <w:lang w:val="el-GR"/>
        </w:rPr>
        <w:t>διαβίβασης και επίδοσης δικαστικών εγγράφων</w:t>
      </w:r>
      <w:r w:rsidR="00913A16">
        <w:rPr>
          <w:rFonts w:ascii="Bookman Old Style" w:hAnsi="Bookman Old Style"/>
          <w:sz w:val="28"/>
          <w:szCs w:val="28"/>
          <w:lang w:val="el-GR"/>
        </w:rPr>
        <w:t>,</w:t>
      </w:r>
      <w:r w:rsidR="00605D8D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913A16">
        <w:rPr>
          <w:rFonts w:ascii="Bookman Old Style" w:hAnsi="Bookman Old Style"/>
          <w:sz w:val="28"/>
          <w:szCs w:val="28"/>
          <w:lang w:val="el-GR"/>
        </w:rPr>
        <w:t>αλλά να ορίσει άλλους τρόπους</w:t>
      </w:r>
      <w:r w:rsidR="00BB3483">
        <w:rPr>
          <w:rFonts w:ascii="Bookman Old Style" w:hAnsi="Bookman Old Style"/>
          <w:sz w:val="28"/>
          <w:szCs w:val="28"/>
          <w:lang w:val="el-GR"/>
        </w:rPr>
        <w:t xml:space="preserve"> προς τούτο</w:t>
      </w:r>
      <w:r w:rsidR="00913A16">
        <w:rPr>
          <w:rFonts w:ascii="Bookman Old Style" w:hAnsi="Bookman Old Style"/>
          <w:sz w:val="28"/>
          <w:szCs w:val="28"/>
          <w:lang w:val="el-GR"/>
        </w:rPr>
        <w:t xml:space="preserve"> και ότι ο Κανονισμός δεν </w:t>
      </w:r>
      <w:r w:rsidR="00B64B64">
        <w:rPr>
          <w:rFonts w:ascii="Bookman Old Style" w:hAnsi="Bookman Old Style"/>
          <w:sz w:val="28"/>
          <w:szCs w:val="28"/>
          <w:lang w:val="el-GR"/>
        </w:rPr>
        <w:t xml:space="preserve">καταργεί ούτε απαγορεύει τη μεθοδολογία που προνοείται από τη </w:t>
      </w:r>
      <w:r w:rsidR="00B64B64" w:rsidRPr="00B64B6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Δ6 θ.6</w:t>
      </w:r>
      <w:r w:rsidR="00B64B64">
        <w:rPr>
          <w:rFonts w:ascii="Bookman Old Style" w:hAnsi="Bookman Old Style"/>
          <w:sz w:val="28"/>
          <w:szCs w:val="28"/>
          <w:lang w:val="el-GR"/>
        </w:rPr>
        <w:t xml:space="preserve"> των </w:t>
      </w:r>
      <w:r w:rsidR="00B64B64" w:rsidRPr="00B64B6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Θεσμών Πολιτικής Δικονομίας</w:t>
      </w:r>
      <w:r w:rsidR="00913A16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A84774">
        <w:rPr>
          <w:rFonts w:ascii="Bookman Old Style" w:hAnsi="Bookman Old Style"/>
          <w:sz w:val="28"/>
          <w:szCs w:val="28"/>
          <w:lang w:val="el-GR"/>
        </w:rPr>
        <w:t xml:space="preserve">Εξού και το Ανώτατο Δικαστήριο ανέφερε ότι ο Κανονισμός δεν αναιρεί τη δυνατότητα επίδοσης της ειδοποίησης του κλητηρίου αντί του ίδιου του κλητηρίου. </w:t>
      </w:r>
    </w:p>
    <w:p w14:paraId="5757D926" w14:textId="69D52E3B" w:rsidR="00EF72BC" w:rsidRPr="00714D42" w:rsidRDefault="00B409F3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Η διαπίστωση του πρωτόδικου Δικαστηρίου ότι ο Εφεσείων δεν προσκόμισε ως αποδεικτικό υλικό </w:t>
      </w:r>
      <w:r w:rsidR="000F7254">
        <w:rPr>
          <w:rFonts w:ascii="Bookman Old Style" w:hAnsi="Bookman Old Style"/>
          <w:sz w:val="28"/>
          <w:szCs w:val="28"/>
          <w:lang w:val="el-GR"/>
        </w:rPr>
        <w:t>τα</w:t>
      </w:r>
      <w:r>
        <w:rPr>
          <w:rFonts w:ascii="Bookman Old Style" w:hAnsi="Bookman Old Style"/>
          <w:sz w:val="28"/>
          <w:szCs w:val="28"/>
          <w:lang w:val="el-GR"/>
        </w:rPr>
        <w:t xml:space="preserve"> έγγραφα τα οποία απέστειλε στον Εφεσίβλητο μέσω της υπηρεσίας ταχυμεταφορών </w:t>
      </w:r>
      <w:r w:rsidR="00315625">
        <w:rPr>
          <w:rFonts w:ascii="Bookman Old Style" w:hAnsi="Bookman Old Style"/>
          <w:sz w:val="28"/>
          <w:szCs w:val="28"/>
          <w:lang w:val="el-GR"/>
        </w:rPr>
        <w:t xml:space="preserve">δεν βρίσκει έρεισμα στο περιεχόμενο του φακέλου της αγωγής. Εντός του φακέλου, υπήρχε καταχωρημένη ένορκη δήλωση του Εφεσείοντος με την οποία </w:t>
      </w:r>
      <w:r w:rsidR="004D26A5">
        <w:rPr>
          <w:rFonts w:ascii="Bookman Old Style" w:hAnsi="Bookman Old Style"/>
          <w:sz w:val="28"/>
          <w:szCs w:val="28"/>
          <w:lang w:val="el-GR"/>
        </w:rPr>
        <w:t xml:space="preserve">αυτός </w:t>
      </w:r>
      <w:r w:rsidR="00315625">
        <w:rPr>
          <w:rFonts w:ascii="Bookman Old Style" w:hAnsi="Bookman Old Style"/>
          <w:sz w:val="28"/>
          <w:szCs w:val="28"/>
          <w:lang w:val="el-GR"/>
        </w:rPr>
        <w:t>βεβαίωνε ότι επιδόθηκαν</w:t>
      </w:r>
      <w:r w:rsidR="00FB55CA" w:rsidRPr="00FB55C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15625">
        <w:rPr>
          <w:rFonts w:ascii="Bookman Old Style" w:hAnsi="Bookman Old Style"/>
          <w:sz w:val="28"/>
          <w:szCs w:val="28"/>
          <w:lang w:val="el-GR"/>
        </w:rPr>
        <w:t>στον Εφεσίβλητο ειδοποίηση κλητηρίου εντάλματος, το διάταγμα για επίδοση εκτός δικαιοδοσίας και για υποκατάστατη επίδοση</w:t>
      </w:r>
      <w:r w:rsidR="008C523E">
        <w:rPr>
          <w:rFonts w:ascii="Bookman Old Style" w:hAnsi="Bookman Old Style"/>
          <w:sz w:val="28"/>
          <w:szCs w:val="28"/>
          <w:lang w:val="el-GR"/>
        </w:rPr>
        <w:t xml:space="preserve">, η σχετική αίτηση και πιστοποιημένο κλητήριο ένταλμα. </w:t>
      </w:r>
      <w:r w:rsidR="004D26A5">
        <w:rPr>
          <w:rFonts w:ascii="Bookman Old Style" w:hAnsi="Bookman Old Style"/>
          <w:sz w:val="28"/>
          <w:szCs w:val="28"/>
          <w:lang w:val="el-GR"/>
        </w:rPr>
        <w:t xml:space="preserve">Ο Εφεσείων επισύναψε ως τεκμήρια τις αποδείξεις αποστολής και παραλαβής των εν λόγω εγγράφων αναφορικά με τον Εφεσίβλητο. </w:t>
      </w:r>
      <w:r w:rsidR="00ED3F74">
        <w:rPr>
          <w:rFonts w:ascii="Bookman Old Style" w:hAnsi="Bookman Old Style"/>
          <w:sz w:val="28"/>
          <w:szCs w:val="28"/>
          <w:lang w:val="el-GR"/>
        </w:rPr>
        <w:t xml:space="preserve">Ως εκ τούτου, στην υπό κρίση περίπτωση </w:t>
      </w:r>
      <w:r w:rsidR="003D4F13">
        <w:rPr>
          <w:rFonts w:ascii="Bookman Old Style" w:hAnsi="Bookman Old Style"/>
          <w:sz w:val="28"/>
          <w:szCs w:val="28"/>
          <w:lang w:val="el-GR"/>
        </w:rPr>
        <w:t xml:space="preserve">υπήρχε ενώπιον του πρωτόδικου Δικαστηρίου μαρτυρία </w:t>
      </w:r>
      <w:r w:rsidR="00010BED">
        <w:rPr>
          <w:rFonts w:ascii="Bookman Old Style" w:hAnsi="Bookman Old Style"/>
          <w:sz w:val="28"/>
          <w:szCs w:val="28"/>
          <w:lang w:val="el-GR"/>
        </w:rPr>
        <w:t xml:space="preserve">ότι </w:t>
      </w:r>
      <w:r w:rsidR="00ED3F74">
        <w:rPr>
          <w:rFonts w:ascii="Bookman Old Style" w:hAnsi="Bookman Old Style"/>
          <w:sz w:val="28"/>
          <w:szCs w:val="28"/>
          <w:lang w:val="el-GR"/>
        </w:rPr>
        <w:t xml:space="preserve">έγινε επίδοση τόσο της ειδοποίησης όσο και του κλητηρίου, </w:t>
      </w:r>
      <w:r w:rsidR="003D4F13">
        <w:rPr>
          <w:rFonts w:ascii="Bookman Old Style" w:hAnsi="Bookman Old Style"/>
          <w:sz w:val="28"/>
          <w:szCs w:val="28"/>
          <w:lang w:val="el-GR"/>
        </w:rPr>
        <w:t xml:space="preserve">όπως αναφερόταν ρητώς στο </w:t>
      </w:r>
      <w:r w:rsidR="00ED3F74">
        <w:rPr>
          <w:rFonts w:ascii="Bookman Old Style" w:hAnsi="Bookman Old Style"/>
          <w:sz w:val="28"/>
          <w:szCs w:val="28"/>
          <w:lang w:val="el-GR"/>
        </w:rPr>
        <w:t xml:space="preserve">διάταγμα. </w:t>
      </w:r>
      <w:r w:rsidR="00714D42">
        <w:rPr>
          <w:rFonts w:ascii="Bookman Old Style" w:hAnsi="Bookman Old Style"/>
          <w:sz w:val="28"/>
          <w:szCs w:val="28"/>
          <w:lang w:val="el-GR"/>
        </w:rPr>
        <w:t xml:space="preserve">Σημειώνεται ότι και στην υπόθεση 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Alpha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Bank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Cyprus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714D42" w:rsidRPr="007E0AA7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Ltd</w:t>
      </w:r>
      <w:r w:rsidR="00714D4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(ανωτέρω) </w:t>
      </w:r>
      <w:r w:rsidR="00714D42">
        <w:rPr>
          <w:rFonts w:ascii="Bookman Old Style" w:hAnsi="Bookman Old Style"/>
          <w:sz w:val="28"/>
          <w:szCs w:val="28"/>
          <w:lang w:val="el-GR"/>
        </w:rPr>
        <w:t xml:space="preserve">έγινε επίδοση ειδοποίησης του κλητηρίου και πιστού αντιγράφου του κλητηρίου και το Ανώτατο Δικαστήριο έκρινε εσφαλμένη την προσέγγιση του πρωτόδικου Δικαστηρίου πως ήταν αναγκαία η επίδοση της ειδοποίησης και πως η αποστολή αντιγράφου του κλητηρίου παραβίαζε τη </w:t>
      </w:r>
      <w:r w:rsidR="00714D42" w:rsidRPr="00714D4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Δ.6 θ.6 των Θεσμών Πολιτικής Δικονομίας</w:t>
      </w:r>
      <w:r w:rsidR="00714D42"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53F55D94" w14:textId="4F8065A6" w:rsidR="004D26A5" w:rsidRDefault="004D26A5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Επομένως, </w:t>
      </w:r>
      <w:r w:rsidR="002953EB">
        <w:rPr>
          <w:rFonts w:ascii="Bookman Old Style" w:hAnsi="Bookman Old Style"/>
          <w:sz w:val="28"/>
          <w:szCs w:val="28"/>
          <w:lang w:val="el-GR"/>
        </w:rPr>
        <w:t>το πρωτόδικο Δικαστήριο έσφαλε ως προς την κατάληξη του πως ο Εφεσείων παρέλειψε να παρουσιάσει μαρτυρία για το ποια έγγραφα επέδωσε</w:t>
      </w:r>
      <w:r w:rsidR="00632E09" w:rsidRPr="006B0EAF">
        <w:rPr>
          <w:rFonts w:ascii="Bookman Old Style" w:hAnsi="Bookman Old Style"/>
          <w:sz w:val="28"/>
          <w:szCs w:val="28"/>
          <w:lang w:val="el-GR"/>
        </w:rPr>
        <w:t>,</w:t>
      </w:r>
      <w:r w:rsidR="002953EB">
        <w:rPr>
          <w:rFonts w:ascii="Bookman Old Style" w:hAnsi="Bookman Old Style"/>
          <w:sz w:val="28"/>
          <w:szCs w:val="28"/>
          <w:lang w:val="el-GR"/>
        </w:rPr>
        <w:t xml:space="preserve"> ούτως ώστε να μπορούσε να αποφασίσει κατά πόσο αυτά είχαν αποσταλεί δυνάμει της Δ.6 θ.6. Ο</w:t>
      </w:r>
      <w:r w:rsidR="00D3242A">
        <w:rPr>
          <w:rFonts w:ascii="Bookman Old Style" w:hAnsi="Bookman Old Style"/>
          <w:sz w:val="28"/>
          <w:szCs w:val="28"/>
          <w:lang w:val="el-GR"/>
        </w:rPr>
        <w:t xml:space="preserve"> πρώτος </w:t>
      </w:r>
      <w:r w:rsidR="00E76AEB">
        <w:rPr>
          <w:rFonts w:ascii="Bookman Old Style" w:hAnsi="Bookman Old Style"/>
          <w:sz w:val="28"/>
          <w:szCs w:val="28"/>
          <w:lang w:val="el-GR"/>
        </w:rPr>
        <w:t xml:space="preserve">και ο έκτος </w:t>
      </w:r>
      <w:r w:rsidR="00D3242A">
        <w:rPr>
          <w:rFonts w:ascii="Bookman Old Style" w:hAnsi="Bookman Old Style"/>
          <w:sz w:val="28"/>
          <w:szCs w:val="28"/>
          <w:lang w:val="el-GR"/>
        </w:rPr>
        <w:t xml:space="preserve">λόγος έφεσης </w:t>
      </w:r>
      <w:r w:rsidR="00BA3F16">
        <w:rPr>
          <w:rFonts w:ascii="Bookman Old Style" w:hAnsi="Bookman Old Style"/>
          <w:sz w:val="28"/>
          <w:szCs w:val="28"/>
          <w:lang w:val="el-GR"/>
        </w:rPr>
        <w:t>κρίν</w:t>
      </w:r>
      <w:r w:rsidR="00E76AEB">
        <w:rPr>
          <w:rFonts w:ascii="Bookman Old Style" w:hAnsi="Bookman Old Style"/>
          <w:sz w:val="28"/>
          <w:szCs w:val="28"/>
          <w:lang w:val="el-GR"/>
        </w:rPr>
        <w:t>ον</w:t>
      </w:r>
      <w:r w:rsidR="00BA3F16">
        <w:rPr>
          <w:rFonts w:ascii="Bookman Old Style" w:hAnsi="Bookman Old Style"/>
          <w:sz w:val="28"/>
          <w:szCs w:val="28"/>
          <w:lang w:val="el-GR"/>
        </w:rPr>
        <w:t xml:space="preserve">ται </w:t>
      </w:r>
      <w:r w:rsidR="00E76AEB">
        <w:rPr>
          <w:rFonts w:ascii="Bookman Old Style" w:hAnsi="Bookman Old Style"/>
          <w:sz w:val="28"/>
          <w:szCs w:val="28"/>
          <w:lang w:val="el-GR"/>
        </w:rPr>
        <w:t>βάσιμοι</w:t>
      </w:r>
      <w:r w:rsidR="00D3242A"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33E3039E" w14:textId="023CBDCC" w:rsidR="00D3242A" w:rsidRDefault="007C6797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Ακολούθως, τ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ο πρωτόδικο Δικαστήριο προχώρησε στη διαπίστωση πως το </w:t>
      </w:r>
      <w:r w:rsidR="00FD409C" w:rsidRPr="00FD409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 του </w:t>
      </w:r>
      <w:r w:rsidR="00FD409C" w:rsidRPr="00FD409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ΕΚ 1393/07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 δεν τύγχανε εφαρμογής στην υπό κρίση περίπτωση ενόψει της μαρτυρίας που προσκομίστηκε από τον Εφεσίβλητο ότι η επίδοση μέσω υπηρεσίας ταχυμεταφοράς δικογράφου αστικής φύσεως δεν συνιστά έγκυρη επίδοση σύμφωνα με το Ελληνικό δίκαιο. </w:t>
      </w:r>
      <w:r w:rsidR="006B434D">
        <w:rPr>
          <w:rFonts w:ascii="Bookman Old Style" w:hAnsi="Bookman Old Style"/>
          <w:sz w:val="28"/>
          <w:szCs w:val="28"/>
          <w:lang w:val="el-GR"/>
        </w:rPr>
        <w:t>Η εν λόγω μαρτυρία ήταν γνωμάτευση από διδάκτορα νομικής</w:t>
      </w:r>
      <w:r w:rsidR="00DE684A" w:rsidRPr="00DE684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DE684A">
        <w:rPr>
          <w:rFonts w:ascii="Bookman Old Style" w:hAnsi="Bookman Old Style"/>
          <w:sz w:val="28"/>
          <w:szCs w:val="28"/>
          <w:lang w:val="el-GR"/>
        </w:rPr>
        <w:t>και</w:t>
      </w:r>
      <w:r w:rsidR="00DE684A" w:rsidRPr="00DE684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DE684A">
        <w:rPr>
          <w:rFonts w:ascii="Bookman Old Style" w:hAnsi="Bookman Old Style"/>
          <w:sz w:val="28"/>
          <w:szCs w:val="28"/>
          <w:lang w:val="el-GR"/>
        </w:rPr>
        <w:t>δικηγόρο με άδεια άσκησης του επαγγέλματος στην Ελλάδα</w:t>
      </w:r>
      <w:r w:rsidR="006B434D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8504AF">
        <w:rPr>
          <w:rFonts w:ascii="Bookman Old Style" w:hAnsi="Bookman Old Style"/>
          <w:sz w:val="28"/>
          <w:szCs w:val="28"/>
          <w:lang w:val="el-GR"/>
        </w:rPr>
        <w:t>Το πρωτόδικο Δικαστήριο έ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κρινε </w:t>
      </w:r>
      <w:r w:rsidR="008504AF">
        <w:rPr>
          <w:rFonts w:ascii="Bookman Old Style" w:hAnsi="Bookman Old Style"/>
          <w:sz w:val="28"/>
          <w:szCs w:val="28"/>
          <w:lang w:val="el-GR"/>
        </w:rPr>
        <w:t xml:space="preserve">επίσης 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πως η επίδοση με βάση το διάταγμα έπρεπε να είχε γίνει </w:t>
      </w:r>
      <w:r w:rsidR="008504AF">
        <w:rPr>
          <w:rFonts w:ascii="Bookman Old Style" w:hAnsi="Bookman Old Style"/>
          <w:sz w:val="28"/>
          <w:szCs w:val="28"/>
          <w:lang w:val="el-GR"/>
        </w:rPr>
        <w:t xml:space="preserve">σύμφωνα με 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FD409C" w:rsidRPr="00FD409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4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 του </w:t>
      </w:r>
      <w:r w:rsidR="00BD4006" w:rsidRPr="00BD400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</w:t>
      </w:r>
      <w:r w:rsidR="00FD409C" w:rsidRPr="00BD400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</w:t>
      </w:r>
      <w:r w:rsidR="00BD400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1393/2007</w:t>
      </w:r>
      <w:r w:rsidR="00FD409C"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716F9E98" w14:textId="7B15CB88" w:rsidR="00971AEC" w:rsidRDefault="00C1301A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συμπέρασμα του πρωτόδικου Δικαστηρίου πως το </w:t>
      </w:r>
      <w:r w:rsidRPr="00C1301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Pr="00BD4006">
        <w:rPr>
          <w:rFonts w:ascii="Bookman Old Style" w:hAnsi="Bookman Old Style"/>
          <w:sz w:val="28"/>
          <w:szCs w:val="28"/>
          <w:lang w:val="el-GR"/>
        </w:rPr>
        <w:t>του</w:t>
      </w:r>
      <w:r w:rsidRPr="00C1301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BD400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ΕΚ 1393/2007 </w:t>
      </w:r>
      <w:r>
        <w:rPr>
          <w:rFonts w:ascii="Bookman Old Style" w:hAnsi="Bookman Old Style"/>
          <w:sz w:val="28"/>
          <w:szCs w:val="28"/>
          <w:lang w:val="el-GR"/>
        </w:rPr>
        <w:t xml:space="preserve">δεν τυγχάνει εφαρμογής </w:t>
      </w:r>
      <w:r w:rsidR="009F3B97">
        <w:rPr>
          <w:rFonts w:ascii="Bookman Old Style" w:hAnsi="Bookman Old Style"/>
          <w:sz w:val="28"/>
          <w:szCs w:val="28"/>
          <w:lang w:val="el-GR"/>
        </w:rPr>
        <w:t xml:space="preserve">στην υπό κρίση περίπτωση </w:t>
      </w:r>
      <w:r>
        <w:rPr>
          <w:rFonts w:ascii="Bookman Old Style" w:hAnsi="Bookman Old Style"/>
          <w:sz w:val="28"/>
          <w:szCs w:val="28"/>
          <w:lang w:val="el-GR"/>
        </w:rPr>
        <w:t xml:space="preserve">δεν υποστηρίζεται από τα ενώπιον του δεδομένα. </w:t>
      </w:r>
      <w:r w:rsidR="004F6E93">
        <w:rPr>
          <w:rFonts w:ascii="Bookman Old Style" w:hAnsi="Bookman Old Style"/>
          <w:sz w:val="28"/>
          <w:szCs w:val="28"/>
          <w:lang w:val="el-GR"/>
        </w:rPr>
        <w:t xml:space="preserve">Δεν αποτέλεσε αντικείμενο αμφισβήτησης πως η Ελλάδα </w:t>
      </w:r>
      <w:r>
        <w:rPr>
          <w:rFonts w:ascii="Bookman Old Style" w:hAnsi="Bookman Old Style"/>
          <w:sz w:val="28"/>
          <w:szCs w:val="28"/>
          <w:lang w:val="el-GR"/>
        </w:rPr>
        <w:t>ως κράτος μέλος δεσμεύεται από τον εν λόγω Κανονισμό και δεν υπ</w:t>
      </w:r>
      <w:r w:rsidR="004F6E93">
        <w:rPr>
          <w:rFonts w:ascii="Bookman Old Style" w:hAnsi="Bookman Old Style"/>
          <w:sz w:val="28"/>
          <w:szCs w:val="28"/>
          <w:lang w:val="el-GR"/>
        </w:rPr>
        <w:t xml:space="preserve">ήρχε οποιαδήποτε </w:t>
      </w:r>
      <w:r>
        <w:rPr>
          <w:rFonts w:ascii="Bookman Old Style" w:hAnsi="Bookman Old Style"/>
          <w:sz w:val="28"/>
          <w:szCs w:val="28"/>
          <w:lang w:val="el-GR"/>
        </w:rPr>
        <w:t xml:space="preserve">μαρτυρία πως </w:t>
      </w:r>
      <w:r w:rsidR="00D563E3">
        <w:rPr>
          <w:rFonts w:ascii="Bookman Old Style" w:hAnsi="Bookman Old Style"/>
          <w:sz w:val="28"/>
          <w:szCs w:val="28"/>
          <w:lang w:val="el-GR"/>
        </w:rPr>
        <w:t xml:space="preserve">αυτή </w:t>
      </w:r>
      <w:r>
        <w:rPr>
          <w:rFonts w:ascii="Bookman Old Style" w:hAnsi="Bookman Old Style"/>
          <w:sz w:val="28"/>
          <w:szCs w:val="28"/>
          <w:lang w:val="el-GR"/>
        </w:rPr>
        <w:t xml:space="preserve">εξέφρασε οποιαδήποτε επιφύλαξη ή ένσταση ως προς την εφαρμογή του Κανονισμού ή έστω κάποιων άρθρων αυτού. Η </w:t>
      </w:r>
      <w:r w:rsidR="00D563E3">
        <w:rPr>
          <w:rFonts w:ascii="Bookman Old Style" w:hAnsi="Bookman Old Style"/>
          <w:sz w:val="28"/>
          <w:szCs w:val="28"/>
          <w:lang w:val="el-GR"/>
        </w:rPr>
        <w:t xml:space="preserve">προσαχθείσα </w:t>
      </w:r>
      <w:r>
        <w:rPr>
          <w:rFonts w:ascii="Bookman Old Style" w:hAnsi="Bookman Old Style"/>
          <w:sz w:val="28"/>
          <w:szCs w:val="28"/>
          <w:lang w:val="el-GR"/>
        </w:rPr>
        <w:t xml:space="preserve">μαρτυρία για το ότι δεν επιτρέπεται η επίδοση με υπηρεσία ταχυμεταφοράς δεν επηρεάζει ούτε καταργεί από μόνη της την εφαρμογή του </w:t>
      </w:r>
      <w:r w:rsidRPr="0095629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</w:t>
      </w:r>
      <w:r w:rsidR="0010409F">
        <w:rPr>
          <w:rFonts w:ascii="Bookman Old Style" w:hAnsi="Bookman Old Style"/>
          <w:sz w:val="28"/>
          <w:szCs w:val="28"/>
          <w:lang w:val="el-GR"/>
        </w:rPr>
        <w:t>, το οποίο η Ελλάδα</w:t>
      </w:r>
      <w:r w:rsidR="00270686">
        <w:rPr>
          <w:rFonts w:ascii="Bookman Old Style" w:hAnsi="Bookman Old Style"/>
          <w:sz w:val="28"/>
          <w:szCs w:val="28"/>
          <w:lang w:val="el-GR"/>
        </w:rPr>
        <w:t>,</w:t>
      </w:r>
      <w:r w:rsidR="0010409F">
        <w:rPr>
          <w:rFonts w:ascii="Bookman Old Style" w:hAnsi="Bookman Old Style"/>
          <w:sz w:val="28"/>
          <w:szCs w:val="28"/>
          <w:lang w:val="el-GR"/>
        </w:rPr>
        <w:t xml:space="preserve"> ως κράτος μέλος</w:t>
      </w:r>
      <w:r w:rsidR="00270686">
        <w:rPr>
          <w:rFonts w:ascii="Bookman Old Style" w:hAnsi="Bookman Old Style"/>
          <w:sz w:val="28"/>
          <w:szCs w:val="28"/>
          <w:lang w:val="el-GR"/>
        </w:rPr>
        <w:t>,</w:t>
      </w:r>
      <w:r w:rsidR="0010409F">
        <w:rPr>
          <w:rFonts w:ascii="Bookman Old Style" w:hAnsi="Bookman Old Style"/>
          <w:sz w:val="28"/>
          <w:szCs w:val="28"/>
          <w:lang w:val="el-GR"/>
        </w:rPr>
        <w:t xml:space="preserve"> έχει δεσμευτεί να εφαρμόζει </w:t>
      </w:r>
      <w:r w:rsidR="005C3BFC">
        <w:rPr>
          <w:rFonts w:ascii="Bookman Old Style" w:hAnsi="Bookman Old Style"/>
          <w:sz w:val="28"/>
          <w:szCs w:val="28"/>
          <w:lang w:val="el-GR"/>
        </w:rPr>
        <w:t xml:space="preserve">εφόσον </w:t>
      </w:r>
      <w:r w:rsidR="00270686">
        <w:rPr>
          <w:rFonts w:ascii="Bookman Old Style" w:hAnsi="Bookman Old Style"/>
          <w:sz w:val="28"/>
          <w:szCs w:val="28"/>
          <w:lang w:val="el-GR"/>
        </w:rPr>
        <w:t xml:space="preserve">το εν λόγω άρθρο </w:t>
      </w:r>
      <w:r w:rsidR="005C3BFC">
        <w:rPr>
          <w:rFonts w:ascii="Bookman Old Style" w:hAnsi="Bookman Old Style"/>
          <w:sz w:val="28"/>
          <w:szCs w:val="28"/>
          <w:lang w:val="el-GR"/>
        </w:rPr>
        <w:t xml:space="preserve">αποτελεί μέρος </w:t>
      </w:r>
      <w:r w:rsidR="0010409F">
        <w:rPr>
          <w:rFonts w:ascii="Bookman Old Style" w:hAnsi="Bookman Old Style"/>
          <w:sz w:val="28"/>
          <w:szCs w:val="28"/>
          <w:lang w:val="el-GR"/>
        </w:rPr>
        <w:t>του Κανονισμού</w:t>
      </w:r>
      <w:r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F504B2">
        <w:rPr>
          <w:rFonts w:ascii="Bookman Old Style" w:hAnsi="Bookman Old Style"/>
          <w:sz w:val="28"/>
          <w:szCs w:val="28"/>
          <w:lang w:val="el-GR"/>
        </w:rPr>
        <w:t>Όπως τονίστηκε στην υπόθεση</w:t>
      </w:r>
      <w:r w:rsidR="00450C95" w:rsidRPr="00450C9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K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C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Quality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Investments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450C95" w:rsidRPr="00F504B2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Ltd</w:t>
      </w:r>
      <w:r w:rsidR="00450C9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(ανωτέρω)</w:t>
      </w:r>
      <w:r w:rsidR="00F504B2" w:rsidRPr="00F504B2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E93738">
        <w:rPr>
          <w:rFonts w:ascii="Bookman Old Style" w:hAnsi="Bookman Old Style"/>
          <w:sz w:val="28"/>
          <w:szCs w:val="28"/>
          <w:lang w:val="el-GR"/>
        </w:rPr>
        <w:t xml:space="preserve">τα Δικαστήρια θα πρέπει να ερμηνεύουν και εφαρμόζουν τον </w:t>
      </w:r>
      <w:r w:rsidR="00A84774" w:rsidRPr="00D346F9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ΕΚ 1393/07</w:t>
      </w:r>
      <w:r w:rsidR="0066687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E93738">
        <w:rPr>
          <w:rFonts w:ascii="Bookman Old Style" w:hAnsi="Bookman Old Style"/>
          <w:sz w:val="28"/>
          <w:szCs w:val="28"/>
          <w:lang w:val="el-GR"/>
        </w:rPr>
        <w:t xml:space="preserve">έχοντας υπόψιν την ύπαρξη του ενιαίου Ευρωπαϊκού χώρου και την ανάγκη για διασφάλιση της ενιαίας εσωτερικής αγοράς με στόχο την επιτάχυνση και βελτίωση του τρόπου επίδοσης μεταξύ των κρατών μελών. </w:t>
      </w:r>
    </w:p>
    <w:p w14:paraId="56505278" w14:textId="3C73A927" w:rsidR="00AA0DD5" w:rsidRDefault="00971AEC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Δεν συμμεριζόμαστε τη θέση του δικηγόρου του Εφεσίβλητου πως ο Κανονισμός δεν επιτρέπει την απ’ ευθείας επίδοση παρά μόνο υπό ορισμένες προϋποθέσεις, παραπέμποντας στην </w:t>
      </w:r>
      <w:r w:rsidRPr="00971AE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παράγραφο </w:t>
      </w:r>
      <w:r w:rsidR="0074741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(</w:t>
      </w:r>
      <w:r w:rsidRPr="00971AE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18</w:t>
      </w:r>
      <w:r w:rsidR="00747410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)</w:t>
      </w:r>
      <w:r w:rsidRPr="00971AE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του προοιμίου και </w:t>
      </w:r>
      <w:r w:rsidR="00747410">
        <w:rPr>
          <w:rFonts w:ascii="Bookman Old Style" w:hAnsi="Bookman Old Style"/>
          <w:sz w:val="28"/>
          <w:szCs w:val="28"/>
          <w:lang w:val="el-GR"/>
        </w:rPr>
        <w:t>σ</w:t>
      </w:r>
      <w:r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Pr="00971AE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15</w:t>
      </w:r>
      <w:r>
        <w:rPr>
          <w:rFonts w:ascii="Bookman Old Style" w:hAnsi="Bookman Old Style"/>
          <w:sz w:val="28"/>
          <w:szCs w:val="28"/>
          <w:lang w:val="el-GR"/>
        </w:rPr>
        <w:t xml:space="preserve"> του Κανονισμού. </w:t>
      </w:r>
      <w:r w:rsidR="00AA0DD5">
        <w:rPr>
          <w:rFonts w:ascii="Bookman Old Style" w:hAnsi="Bookman Old Style"/>
          <w:sz w:val="28"/>
          <w:szCs w:val="28"/>
          <w:lang w:val="el-GR"/>
        </w:rPr>
        <w:t xml:space="preserve">Η παράγραφος </w:t>
      </w:r>
      <w:r w:rsidR="00747410">
        <w:rPr>
          <w:rFonts w:ascii="Bookman Old Style" w:hAnsi="Bookman Old Style"/>
          <w:sz w:val="28"/>
          <w:szCs w:val="28"/>
          <w:lang w:val="el-GR"/>
        </w:rPr>
        <w:t>(</w:t>
      </w:r>
      <w:r w:rsidR="00AA0DD5">
        <w:rPr>
          <w:rFonts w:ascii="Bookman Old Style" w:hAnsi="Bookman Old Style"/>
          <w:sz w:val="28"/>
          <w:szCs w:val="28"/>
          <w:lang w:val="el-GR"/>
        </w:rPr>
        <w:t>18</w:t>
      </w:r>
      <w:r w:rsidR="00747410">
        <w:rPr>
          <w:rFonts w:ascii="Bookman Old Style" w:hAnsi="Bookman Old Style"/>
          <w:sz w:val="28"/>
          <w:szCs w:val="28"/>
          <w:lang w:val="el-GR"/>
        </w:rPr>
        <w:t>)</w:t>
      </w:r>
      <w:r w:rsidR="00AA0DD5">
        <w:rPr>
          <w:rFonts w:ascii="Bookman Old Style" w:hAnsi="Bookman Old Style"/>
          <w:sz w:val="28"/>
          <w:szCs w:val="28"/>
          <w:lang w:val="el-GR"/>
        </w:rPr>
        <w:t xml:space="preserve"> και το άρθρο 15 αναφέρονται σε απ’ ευθείας επίδοση μέσω δικαστικών επιμελητών ή άλλων αρμόδιων κρατικών λειτουργών, και δεν τυγχάνουν εφαρμογής στην προκειμένη περίπτωση. </w:t>
      </w:r>
    </w:p>
    <w:p w14:paraId="1055CC7D" w14:textId="2E90C191" w:rsidR="00A84774" w:rsidRDefault="005E1C19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Στο προοίμιο του Κανονισμού, στην </w:t>
      </w:r>
      <w:r w:rsidRPr="00B7704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παράγραφο (17)</w:t>
      </w:r>
      <w:r>
        <w:rPr>
          <w:rFonts w:ascii="Bookman Old Style" w:hAnsi="Bookman Old Style"/>
          <w:sz w:val="28"/>
          <w:szCs w:val="28"/>
          <w:lang w:val="el-GR"/>
        </w:rPr>
        <w:t xml:space="preserve"> αναφέρεται ρητώς ότι κάθε κράτος μέλος θα πρέπει να μπορεί να επιδίδει ή κοινοποιεί πράξεις σε κατοίκους άλλου κράτους μέλους απευθείας μέσω των ταχυδρομικών υπηρεσιών, με συστημένη επιστολή με απόδειξη παραλαβής ή ισοδύναμο έγγραφο, εξού και προφανώς η συμπερίληψη του </w:t>
      </w:r>
      <w:r w:rsidRPr="00F342C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</w:t>
      </w:r>
      <w:r w:rsidR="00F342C4" w:rsidRPr="00F342C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υ</w:t>
      </w:r>
      <w:r w:rsidRPr="00F342C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14</w:t>
      </w:r>
      <w:r>
        <w:rPr>
          <w:rFonts w:ascii="Bookman Old Style" w:hAnsi="Bookman Old Style"/>
          <w:sz w:val="28"/>
          <w:szCs w:val="28"/>
          <w:lang w:val="el-GR"/>
        </w:rPr>
        <w:t xml:space="preserve"> το οποίο επιτρέπει κάτι τέτοιο. </w:t>
      </w:r>
    </w:p>
    <w:p w14:paraId="1B347C3B" w14:textId="3C2D1CB4" w:rsidR="00B75CCC" w:rsidRDefault="00B77043" w:rsidP="003D7CA6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ζήτημα του κατά πόσο η </w:t>
      </w:r>
      <w:r w:rsidR="002E62A4">
        <w:rPr>
          <w:rFonts w:ascii="Bookman Old Style" w:hAnsi="Bookman Old Style"/>
          <w:sz w:val="28"/>
          <w:szCs w:val="28"/>
          <w:lang w:val="el-GR"/>
        </w:rPr>
        <w:t xml:space="preserve">διαταχθείσα και ή η διενεργηθείσα </w:t>
      </w:r>
      <w:r>
        <w:rPr>
          <w:rFonts w:ascii="Bookman Old Style" w:hAnsi="Bookman Old Style"/>
          <w:sz w:val="28"/>
          <w:szCs w:val="28"/>
          <w:lang w:val="el-GR"/>
        </w:rPr>
        <w:t xml:space="preserve">επίδοση επιτρέπεται με βάση το Ελληνικό δίκαιο θα μπορούσε ενδεχομένως να είχε σημασία στην περίπτωση επίδοσης με βάση το </w:t>
      </w:r>
      <w:r w:rsidRPr="00B7704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Τμήμα 1</w:t>
      </w:r>
      <w:r>
        <w:rPr>
          <w:rFonts w:ascii="Bookman Old Style" w:hAnsi="Bookman Old Style"/>
          <w:sz w:val="28"/>
          <w:szCs w:val="28"/>
          <w:lang w:val="el-GR"/>
        </w:rPr>
        <w:t xml:space="preserve"> του Κανονισμού, </w:t>
      </w:r>
      <w:r w:rsidRPr="00B7704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άρθρα 1-11</w:t>
      </w:r>
      <w:r>
        <w:rPr>
          <w:rFonts w:ascii="Bookman Old Style" w:hAnsi="Bookman Old Style"/>
          <w:sz w:val="28"/>
          <w:szCs w:val="28"/>
          <w:lang w:val="el-GR"/>
        </w:rPr>
        <w:t>, το οποίο</w:t>
      </w:r>
      <w:r w:rsidR="00CE7FAC">
        <w:rPr>
          <w:rFonts w:ascii="Bookman Old Style" w:hAnsi="Bookman Old Style"/>
          <w:sz w:val="28"/>
          <w:szCs w:val="28"/>
          <w:lang w:val="el-GR"/>
        </w:rPr>
        <w:t xml:space="preserve"> αφορά σε άλλο τρόπο επίδοσης μέσω των οριζομένων από κάθε κράτος μέλος υπηρεσιών διαβίβασης και παραλαβής. Είναι σε αυτό το μέρος του Κανονισμού που περιλαμβάνεται και το </w:t>
      </w:r>
      <w:r w:rsidR="00CE7FAC" w:rsidRPr="00CE7FA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4</w:t>
      </w:r>
      <w:r w:rsidR="00CE7FAC">
        <w:rPr>
          <w:rFonts w:ascii="Bookman Old Style" w:hAnsi="Bookman Old Style"/>
          <w:sz w:val="28"/>
          <w:szCs w:val="28"/>
          <w:lang w:val="el-GR"/>
        </w:rPr>
        <w:t xml:space="preserve"> το οποίο προνοεί για τη διαβίβαση απευθείας δικαστικών πράξεων μέσω των προαναφερόμενων υπηρεσιών και το οποίο ουδεμία σχέση και εφαρμογή έχει στην προκειμένη περίπτωση. </w:t>
      </w:r>
      <w:r w:rsidR="0045672D">
        <w:rPr>
          <w:rFonts w:ascii="Bookman Old Style" w:hAnsi="Bookman Old Style"/>
          <w:sz w:val="28"/>
          <w:szCs w:val="28"/>
          <w:lang w:val="el-GR"/>
        </w:rPr>
        <w:t>Σ</w:t>
      </w:r>
      <w:r w:rsidR="00BA3AF9">
        <w:rPr>
          <w:rFonts w:ascii="Bookman Old Style" w:hAnsi="Bookman Old Style"/>
          <w:sz w:val="28"/>
          <w:szCs w:val="28"/>
          <w:lang w:val="el-GR"/>
        </w:rPr>
        <w:t xml:space="preserve">ε </w:t>
      </w:r>
      <w:r w:rsidR="006B0EAF">
        <w:rPr>
          <w:rFonts w:ascii="Bookman Old Style" w:hAnsi="Bookman Old Style"/>
          <w:sz w:val="28"/>
          <w:szCs w:val="28"/>
          <w:lang w:val="el-GR"/>
        </w:rPr>
        <w:t xml:space="preserve">εκείνη </w:t>
      </w:r>
      <w:r w:rsidR="00A40B33">
        <w:rPr>
          <w:rFonts w:ascii="Bookman Old Style" w:hAnsi="Bookman Old Style"/>
          <w:sz w:val="28"/>
          <w:szCs w:val="28"/>
          <w:lang w:val="el-GR"/>
        </w:rPr>
        <w:t>την περίπτωση επίδοσης</w:t>
      </w:r>
      <w:r w:rsidR="0045672D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4F36D7">
        <w:rPr>
          <w:rFonts w:ascii="Bookman Old Style" w:hAnsi="Bookman Old Style"/>
          <w:sz w:val="28"/>
          <w:szCs w:val="28"/>
          <w:lang w:val="el-GR"/>
        </w:rPr>
        <w:t xml:space="preserve">τυγχάνει εφαρμογής το </w:t>
      </w:r>
      <w:r w:rsidR="004F36D7" w:rsidRPr="00A40B3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 </w:t>
      </w:r>
      <w:r w:rsidR="00A40B33" w:rsidRPr="00A40B3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7</w:t>
      </w:r>
      <w:r w:rsidR="00A40B33">
        <w:rPr>
          <w:rFonts w:ascii="Bookman Old Style" w:hAnsi="Bookman Old Style"/>
          <w:sz w:val="28"/>
          <w:szCs w:val="28"/>
          <w:lang w:val="el-GR"/>
        </w:rPr>
        <w:t xml:space="preserve">, σύμφωνα με το οποίο η επίδοση γίνεται από την υπηρεσία παραλαβής σύμφωνα με το δίκαιο του κράτους μέλους παραλαβής, ή με την ειδική μέθοδο που ζήτησε η υπηρεσία διαβίβασης, και εφόσον δεν αντιβαίνει στο δίκαιο του εν λόγω κράτους μέλους. </w:t>
      </w:r>
      <w:r w:rsidR="00ED4944"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ED4944" w:rsidRPr="00ED494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 w:rsidR="00ED4944">
        <w:rPr>
          <w:rFonts w:ascii="Bookman Old Style" w:hAnsi="Bookman Old Style"/>
          <w:sz w:val="28"/>
          <w:szCs w:val="28"/>
          <w:lang w:val="el-GR"/>
        </w:rPr>
        <w:t xml:space="preserve"> περιλαμβάνεται στο </w:t>
      </w:r>
      <w:r w:rsidR="00ED4944" w:rsidRPr="00ED494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Τμήμα 2</w:t>
      </w:r>
      <w:r w:rsidR="00ED4944">
        <w:rPr>
          <w:rFonts w:ascii="Bookman Old Style" w:hAnsi="Bookman Old Style"/>
          <w:sz w:val="28"/>
          <w:szCs w:val="28"/>
          <w:lang w:val="el-GR"/>
        </w:rPr>
        <w:t xml:space="preserve"> του Κανονισμού το οποίο τιτλοφορείται «</w:t>
      </w:r>
      <w:r w:rsidR="00ED4944" w:rsidRPr="00ED4944">
        <w:rPr>
          <w:rFonts w:ascii="Bookman Old Style" w:hAnsi="Bookman Old Style"/>
          <w:i/>
          <w:iCs/>
          <w:sz w:val="28"/>
          <w:szCs w:val="28"/>
          <w:lang w:val="el-GR"/>
        </w:rPr>
        <w:t>Άλλοι τρόποι διαβίβασης και επίδοσης ή κοινοποίησης δικαστικών πράξεων</w:t>
      </w:r>
      <w:r w:rsidR="00ED4944">
        <w:rPr>
          <w:rFonts w:ascii="Bookman Old Style" w:hAnsi="Bookman Old Style"/>
          <w:sz w:val="28"/>
          <w:szCs w:val="28"/>
          <w:lang w:val="el-GR"/>
        </w:rPr>
        <w:t xml:space="preserve">» και σαφώς αφορούν επιπρόσθετους τρόπους επίδοσης. </w:t>
      </w:r>
      <w:r w:rsidR="00893DD7">
        <w:rPr>
          <w:rFonts w:ascii="Bookman Old Style" w:hAnsi="Bookman Old Style"/>
          <w:sz w:val="28"/>
          <w:szCs w:val="28"/>
          <w:lang w:val="el-GR"/>
        </w:rPr>
        <w:t xml:space="preserve">Σημειώνουμε ότι σε αυτό το Τμήμα περιλαμβάνεται και το </w:t>
      </w:r>
      <w:r w:rsidR="00893DD7" w:rsidRPr="00893DD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15</w:t>
      </w:r>
      <w:r w:rsidR="00893DD7">
        <w:rPr>
          <w:rFonts w:ascii="Bookman Old Style" w:hAnsi="Bookman Old Style"/>
          <w:sz w:val="28"/>
          <w:szCs w:val="28"/>
          <w:lang w:val="el-GR"/>
        </w:rPr>
        <w:t>, το οποίο ρητώς προνοεί για την επίδοση μέσω δικαστικών λειτουργών «</w:t>
      </w:r>
      <w:r w:rsidR="00893DD7" w:rsidRPr="00893DD7">
        <w:rPr>
          <w:rFonts w:ascii="Bookman Old Style" w:hAnsi="Bookman Old Style"/>
          <w:i/>
          <w:iCs/>
          <w:sz w:val="28"/>
          <w:szCs w:val="28"/>
          <w:lang w:val="el-GR"/>
        </w:rPr>
        <w:t>αν αυτό επιτρέπεται από τη νομοθεσία του συγκεκριμένου κράτους μέλους</w:t>
      </w:r>
      <w:r w:rsidR="00893DD7">
        <w:rPr>
          <w:rFonts w:ascii="Bookman Old Style" w:hAnsi="Bookman Old Style"/>
          <w:sz w:val="28"/>
          <w:szCs w:val="28"/>
          <w:lang w:val="el-GR"/>
        </w:rPr>
        <w:t xml:space="preserve">», φράση η οποία παραλείπεται από το </w:t>
      </w:r>
      <w:r w:rsidR="00893DD7" w:rsidRPr="00893DD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 w:rsidR="00893DD7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6E6AE9">
        <w:rPr>
          <w:rFonts w:ascii="Bookman Old Style" w:hAnsi="Bookman Old Style"/>
          <w:sz w:val="28"/>
          <w:szCs w:val="28"/>
          <w:lang w:val="el-GR"/>
        </w:rPr>
        <w:t>Εδώ αξίζει να αναφερθούμε εκ νέου σ</w:t>
      </w:r>
      <w:r w:rsidR="004B5508">
        <w:rPr>
          <w:rFonts w:ascii="Bookman Old Style" w:hAnsi="Bookman Old Style"/>
          <w:sz w:val="28"/>
          <w:szCs w:val="28"/>
          <w:lang w:val="el-GR"/>
        </w:rPr>
        <w:t xml:space="preserve">την υπόθεση 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K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C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Quality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Investments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Ltd</w:t>
      </w:r>
      <w:r w:rsidR="004B5508" w:rsidRPr="004B55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(ανωτέρω)</w:t>
      </w:r>
      <w:r w:rsidR="006E6AE9">
        <w:rPr>
          <w:rFonts w:ascii="Bookman Old Style" w:hAnsi="Bookman Old Style"/>
          <w:sz w:val="28"/>
          <w:szCs w:val="28"/>
          <w:lang w:val="el-GR"/>
        </w:rPr>
        <w:t>, στην οποία</w:t>
      </w:r>
      <w:r w:rsidR="004B5508">
        <w:rPr>
          <w:rFonts w:ascii="Bookman Old Style" w:hAnsi="Bookman Old Style"/>
          <w:sz w:val="28"/>
          <w:szCs w:val="28"/>
          <w:lang w:val="el-GR"/>
        </w:rPr>
        <w:t xml:space="preserve"> λέχθηκε ότι η προσέγγιση του Ε</w:t>
      </w:r>
      <w:r w:rsidR="00431A98">
        <w:rPr>
          <w:rFonts w:ascii="Bookman Old Style" w:hAnsi="Bookman Old Style"/>
          <w:sz w:val="28"/>
          <w:szCs w:val="28"/>
          <w:lang w:val="el-GR"/>
        </w:rPr>
        <w:t>Κ</w:t>
      </w:r>
      <w:r w:rsidR="004B5508">
        <w:rPr>
          <w:rFonts w:ascii="Bookman Old Style" w:hAnsi="Bookman Old Style"/>
          <w:sz w:val="28"/>
          <w:szCs w:val="28"/>
          <w:lang w:val="el-GR"/>
        </w:rPr>
        <w:t xml:space="preserve"> 1393/07 δεν πρέπει να είναι τυπολατρική και περιοριστική, αγνοώντας το φιλελεύθερο πνεύμα του. </w:t>
      </w:r>
    </w:p>
    <w:p w14:paraId="5E52EA40" w14:textId="0C789C5E" w:rsidR="005E1C19" w:rsidRDefault="00783594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Σύμφωνα με όσα αναφέρουμε ανωτέρω, θεωρούμε εσφαλμένη την κατάληξη του πρωτόδικου Δικαστηρίου ότι </w:t>
      </w:r>
      <w:r w:rsidR="005B3984"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="005B3984" w:rsidRPr="00ED494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 w:rsidR="005B3984">
        <w:rPr>
          <w:rFonts w:ascii="Bookman Old Style" w:hAnsi="Bookman Old Style"/>
          <w:sz w:val="28"/>
          <w:szCs w:val="28"/>
          <w:lang w:val="el-GR"/>
        </w:rPr>
        <w:t xml:space="preserve"> δεν τύγχανε εφαρμογής και ότι η επίδοση έπρεπε να γίνει με βάση το </w:t>
      </w:r>
      <w:r w:rsidR="005B3984" w:rsidRPr="00ED494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4</w:t>
      </w:r>
      <w:r w:rsidR="00D6194D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D6194D" w:rsidRPr="00D6194D">
        <w:rPr>
          <w:rFonts w:ascii="Bookman Old Style" w:hAnsi="Bookman Old Style"/>
          <w:sz w:val="28"/>
          <w:szCs w:val="28"/>
          <w:lang w:val="el-GR"/>
        </w:rPr>
        <w:t>του</w:t>
      </w:r>
      <w:r w:rsidR="00D6194D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ΕΚ 1393/2007</w:t>
      </w:r>
      <w:r>
        <w:rPr>
          <w:rFonts w:ascii="Bookman Old Style" w:hAnsi="Bookman Old Style"/>
          <w:sz w:val="28"/>
          <w:szCs w:val="28"/>
          <w:lang w:val="el-GR"/>
        </w:rPr>
        <w:t>.</w:t>
      </w:r>
      <w:r w:rsidR="005B3984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F53E8B">
        <w:rPr>
          <w:rFonts w:ascii="Bookman Old Style" w:hAnsi="Bookman Old Style"/>
          <w:sz w:val="28"/>
          <w:szCs w:val="28"/>
          <w:lang w:val="el-GR"/>
        </w:rPr>
        <w:t xml:space="preserve">Ουσιαστικά το πρωτόδικο Δικαστήριο ακύρωσε το σκέλος του διατάγματος που αφορά στον τρόπο επίδοσης στον Εφεσίβλητο και αντικατέστησε αυτόν </w:t>
      </w:r>
      <w:r w:rsidR="005B3984">
        <w:rPr>
          <w:rFonts w:ascii="Bookman Old Style" w:hAnsi="Bookman Old Style"/>
          <w:sz w:val="28"/>
          <w:szCs w:val="28"/>
          <w:lang w:val="el-GR"/>
        </w:rPr>
        <w:t xml:space="preserve">με </w:t>
      </w:r>
      <w:r w:rsidR="00F53E8B">
        <w:rPr>
          <w:rFonts w:ascii="Bookman Old Style" w:hAnsi="Bookman Old Style"/>
          <w:sz w:val="28"/>
          <w:szCs w:val="28"/>
          <w:lang w:val="el-GR"/>
        </w:rPr>
        <w:t xml:space="preserve">τη </w:t>
      </w:r>
      <w:r w:rsidR="005B3984">
        <w:rPr>
          <w:rFonts w:ascii="Bookman Old Style" w:hAnsi="Bookman Old Style"/>
          <w:sz w:val="28"/>
          <w:szCs w:val="28"/>
          <w:lang w:val="el-GR"/>
        </w:rPr>
        <w:t>δική του εκτίμηση</w:t>
      </w:r>
      <w:r w:rsidR="00F53E8B">
        <w:rPr>
          <w:rFonts w:ascii="Bookman Old Style" w:hAnsi="Bookman Old Style"/>
          <w:sz w:val="28"/>
          <w:szCs w:val="28"/>
          <w:lang w:val="el-GR"/>
        </w:rPr>
        <w:t xml:space="preserve">, αγνοώντας την ύπαρξη ενός </w:t>
      </w:r>
      <w:r w:rsidR="00431A98">
        <w:rPr>
          <w:rFonts w:ascii="Bookman Old Style" w:hAnsi="Bookman Old Style"/>
          <w:sz w:val="28"/>
          <w:szCs w:val="28"/>
          <w:lang w:val="el-GR"/>
        </w:rPr>
        <w:t xml:space="preserve">εν ισχύι </w:t>
      </w:r>
      <w:r w:rsidR="00F53E8B">
        <w:rPr>
          <w:rFonts w:ascii="Bookman Old Style" w:hAnsi="Bookman Old Style"/>
          <w:sz w:val="28"/>
          <w:szCs w:val="28"/>
          <w:lang w:val="el-GR"/>
        </w:rPr>
        <w:t>διατάγματος το οποίο καθόριζε τον τρόπο επίδοσης</w:t>
      </w:r>
      <w:r w:rsidR="005B3984">
        <w:rPr>
          <w:rFonts w:ascii="Bookman Old Style" w:hAnsi="Bookman Old Style"/>
          <w:sz w:val="28"/>
          <w:szCs w:val="28"/>
          <w:lang w:val="el-GR"/>
        </w:rPr>
        <w:t>. Αυτό</w:t>
      </w:r>
      <w:r w:rsidR="00683183">
        <w:rPr>
          <w:rFonts w:ascii="Bookman Old Style" w:hAnsi="Bookman Old Style"/>
          <w:sz w:val="28"/>
          <w:szCs w:val="28"/>
          <w:lang w:val="el-GR"/>
        </w:rPr>
        <w:t xml:space="preserve"> απολήγει στην αναθεώρηση του διατάγματος από ομόβαθμο Δικαστήριο, κάτι το οποίο δεν είναι επιτρεπτό καθότι τέτοια εξουσία παρέχεται μόνο στο Εφετείο και στο Ανώτατο Δικαστήριο, όπως λέχθηκε στην υπόθεση </w:t>
      </w:r>
      <w:r w:rsidR="00DD01B9" w:rsidRPr="00DD01B9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Λοϊζίδη, Παραλήπτη και Διαχειριστή της Κ.Χ. Περατικός Λτδ </w:t>
      </w:r>
      <w:r w:rsidR="00DD01B9" w:rsidRPr="00DD01B9">
        <w:rPr>
          <w:rFonts w:ascii="Bookman Old Style" w:hAnsi="Bookman Old Style"/>
          <w:b/>
          <w:bCs/>
          <w:i/>
          <w:iCs/>
          <w:sz w:val="28"/>
          <w:szCs w:val="28"/>
          <w:lang w:val="en-GB"/>
        </w:rPr>
        <w:t>v</w:t>
      </w:r>
      <w:r w:rsidR="00DD01B9" w:rsidRPr="00DD01B9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Περατικού κ.ά., Πολ. Αίτηση Αρ. 32/2019, ημερ. 17.4.2019</w:t>
      </w:r>
      <w:r w:rsidR="00DD01B9">
        <w:rPr>
          <w:rFonts w:ascii="Bookman Old Style" w:hAnsi="Bookman Old Style"/>
          <w:sz w:val="28"/>
          <w:szCs w:val="28"/>
          <w:lang w:val="el-GR"/>
        </w:rPr>
        <w:t>.</w:t>
      </w:r>
      <w:r w:rsidR="005B3984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74AC5EAF" w14:textId="509D8722" w:rsidR="005B3984" w:rsidRDefault="00ED4944" w:rsidP="003D7CA6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Οι πιο πάνω επισημάνσεις μας </w:t>
      </w:r>
      <w:r w:rsidR="0002754F">
        <w:rPr>
          <w:rFonts w:ascii="Bookman Old Style" w:hAnsi="Bookman Old Style"/>
          <w:sz w:val="28"/>
          <w:szCs w:val="28"/>
          <w:lang w:val="el-GR"/>
        </w:rPr>
        <w:t xml:space="preserve">ως προς το πεδίο εφαρμογής του </w:t>
      </w:r>
      <w:r w:rsidR="0002754F" w:rsidRPr="0002754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</w:t>
      </w:r>
      <w:r w:rsidR="0002754F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βρίσκουν έρεισμα στο σύγγραμμα </w:t>
      </w:r>
      <w:r w:rsidRPr="00ED494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Κανονισμός (ΕΚ) 1393/2007, Κανονισμός Επιδόσεων, Κατ’ άρθρο ερμηνεία, Π. Αρβανιτάκης και Ε. Βασιλακάκης</w:t>
      </w:r>
      <w:r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F46501">
        <w:rPr>
          <w:rFonts w:ascii="Bookman Old Style" w:hAnsi="Bookman Old Style"/>
          <w:sz w:val="28"/>
          <w:szCs w:val="28"/>
          <w:lang w:val="el-GR"/>
        </w:rPr>
        <w:t>όπου στη σελίδα 23 αναφέρονται τα ακόλουθα</w:t>
      </w:r>
      <w:r w:rsidR="00F46501" w:rsidRPr="00F46501">
        <w:rPr>
          <w:rFonts w:ascii="Bookman Old Style" w:hAnsi="Bookman Old Style"/>
          <w:sz w:val="28"/>
          <w:szCs w:val="28"/>
          <w:lang w:val="el-GR"/>
        </w:rPr>
        <w:t>:</w:t>
      </w:r>
    </w:p>
    <w:p w14:paraId="0FD13DB5" w14:textId="6D519C3D" w:rsidR="00F46501" w:rsidRDefault="00F46501" w:rsidP="00D10902">
      <w:pPr>
        <w:spacing w:line="240" w:lineRule="auto"/>
        <w:ind w:left="567"/>
        <w:jc w:val="both"/>
        <w:rPr>
          <w:rFonts w:ascii="Bookman Old Style" w:hAnsi="Bookman Old Style"/>
          <w:sz w:val="28"/>
          <w:szCs w:val="28"/>
          <w:lang w:val="el-GR"/>
        </w:rPr>
      </w:pPr>
      <w:r w:rsidRPr="00ED7FEC">
        <w:rPr>
          <w:rFonts w:ascii="Bookman Old Style" w:hAnsi="Bookman Old Style"/>
          <w:sz w:val="28"/>
          <w:szCs w:val="28"/>
          <w:lang w:val="el-GR"/>
        </w:rPr>
        <w:t>«</w:t>
      </w:r>
      <w:r w:rsidRPr="00B029B2">
        <w:rPr>
          <w:rFonts w:ascii="Bookman Old Style" w:hAnsi="Bookman Old Style"/>
          <w:i/>
          <w:iCs/>
          <w:sz w:val="28"/>
          <w:szCs w:val="28"/>
          <w:lang w:val="el-GR"/>
        </w:rPr>
        <w:t>Συγχρόνως με τον κύριο τρόπο διαβιβάσεως των προς επίδοση</w:t>
      </w:r>
      <w:r w:rsidRPr="00ED7FEC">
        <w:rPr>
          <w:rFonts w:ascii="Bookman Old Style" w:hAnsi="Bookman Old Style"/>
          <w:sz w:val="28"/>
          <w:szCs w:val="28"/>
          <w:lang w:val="el-GR"/>
        </w:rPr>
        <w:t xml:space="preserve"> ε</w:t>
      </w:r>
      <w:r w:rsidRPr="00ED7FEC">
        <w:rPr>
          <w:rFonts w:ascii="Bookman Old Style" w:hAnsi="Bookman Old Style"/>
          <w:i/>
          <w:iCs/>
          <w:sz w:val="28"/>
          <w:szCs w:val="28"/>
          <w:lang w:val="el-GR"/>
        </w:rPr>
        <w:t>γγράφων μέσω των υπηρεσιών διαβίβασης και παραλαβής (άρθρ., 2, 4-11), ο Κανονισμός καθιερώνει μια σειρά άλλων, παράλληλων, απολύτως ισοδύναμων και χωρίς καμία ιεράρχηση μεταξύ τους, άμεσων ή έμμεσων τρόπων επιδόσεως. Ως έμμεσοι, εναλλακτικοί τρόποι επιδόσεως εισάγονται η μέσω προξενικής ή διπλωματικής οδού (άρθρ. 12) και η διά διπλωματικών ή προξενικών υπαλλήλων επίδοση (άρθρο 13), ενώ στους άμεσους τρόπους επιδόσεως συγκαταλέγονται η ταχυδρομική επίδοση (άρθρ. 14) και η απευθείας επίδοση μέσω δικαστικού επιμελητή ή άλλου αρμόδιου υπ</w:t>
      </w:r>
      <w:r w:rsidR="007D13C6" w:rsidRPr="00ED7FEC">
        <w:rPr>
          <w:rFonts w:ascii="Bookman Old Style" w:hAnsi="Bookman Old Style"/>
          <w:i/>
          <w:iCs/>
          <w:sz w:val="28"/>
          <w:szCs w:val="28"/>
          <w:lang w:val="el-GR"/>
        </w:rPr>
        <w:t>α</w:t>
      </w:r>
      <w:r w:rsidRPr="00ED7FEC">
        <w:rPr>
          <w:rFonts w:ascii="Bookman Old Style" w:hAnsi="Bookman Old Style"/>
          <w:i/>
          <w:iCs/>
          <w:sz w:val="28"/>
          <w:szCs w:val="28"/>
          <w:lang w:val="el-GR"/>
        </w:rPr>
        <w:t>λλ</w:t>
      </w:r>
      <w:r w:rsidR="007D13C6" w:rsidRPr="00ED7FEC">
        <w:rPr>
          <w:rFonts w:ascii="Bookman Old Style" w:hAnsi="Bookman Old Style"/>
          <w:i/>
          <w:iCs/>
          <w:sz w:val="28"/>
          <w:szCs w:val="28"/>
          <w:lang w:val="el-GR"/>
        </w:rPr>
        <w:t>ή</w:t>
      </w:r>
      <w:r w:rsidRPr="00ED7FEC">
        <w:rPr>
          <w:rFonts w:ascii="Bookman Old Style" w:hAnsi="Bookman Old Style"/>
          <w:i/>
          <w:iCs/>
          <w:sz w:val="28"/>
          <w:szCs w:val="28"/>
          <w:lang w:val="el-GR"/>
        </w:rPr>
        <w:t>λου του κράτους μέλους παραλαβής (άρθρ. 15).</w:t>
      </w:r>
      <w:r w:rsidRPr="00ED7FEC">
        <w:rPr>
          <w:rFonts w:ascii="Bookman Old Style" w:hAnsi="Bookman Old Style"/>
          <w:sz w:val="28"/>
          <w:szCs w:val="28"/>
          <w:lang w:val="el-GR"/>
        </w:rPr>
        <w:t>»</w:t>
      </w:r>
    </w:p>
    <w:p w14:paraId="00519539" w14:textId="77777777" w:rsidR="001D7739" w:rsidRPr="00ED7FEC" w:rsidRDefault="001D7739" w:rsidP="00ED7FEC">
      <w:pPr>
        <w:spacing w:line="240" w:lineRule="auto"/>
        <w:ind w:left="283"/>
        <w:jc w:val="both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6BA345EA" w14:textId="0A1376AD" w:rsidR="00F46501" w:rsidRDefault="00F46501" w:rsidP="003D7CA6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Ακολούθως γίνεται ειδική ανάλυση του άμεσου τρόπου επίδοσης με ταχυδρομική επίδοση η οποία προνοείται στο </w:t>
      </w:r>
      <w:r w:rsidRPr="009B377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>
        <w:rPr>
          <w:rFonts w:ascii="Bookman Old Style" w:hAnsi="Bookman Old Style"/>
          <w:sz w:val="28"/>
          <w:szCs w:val="28"/>
          <w:lang w:val="el-GR"/>
        </w:rPr>
        <w:t xml:space="preserve"> του Κανονισμού και η οποία</w:t>
      </w:r>
      <w:r w:rsidR="00B029B2">
        <w:rPr>
          <w:rFonts w:ascii="Bookman Old Style" w:hAnsi="Bookman Old Style"/>
          <w:sz w:val="28"/>
          <w:szCs w:val="28"/>
          <w:lang w:val="el-GR"/>
        </w:rPr>
        <w:t>, ως αναφέρεται,</w:t>
      </w:r>
      <w:r>
        <w:rPr>
          <w:rFonts w:ascii="Bookman Old Style" w:hAnsi="Bookman Old Style"/>
          <w:sz w:val="28"/>
          <w:szCs w:val="28"/>
          <w:lang w:val="el-GR"/>
        </w:rPr>
        <w:t xml:space="preserve"> έχει αναγνωριστεί και από τη νομολογία στην Ελλάδα. </w:t>
      </w:r>
    </w:p>
    <w:p w14:paraId="7EBDEFD0" w14:textId="46560E0D" w:rsidR="00F46501" w:rsidRPr="00E53C9B" w:rsidRDefault="00F46501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Στ</w:t>
      </w:r>
      <w:r w:rsidR="00E53C9B">
        <w:rPr>
          <w:rFonts w:ascii="Bookman Old Style" w:hAnsi="Bookman Old Style"/>
          <w:sz w:val="28"/>
          <w:szCs w:val="28"/>
          <w:lang w:val="el-GR"/>
        </w:rPr>
        <w:t>ις</w:t>
      </w:r>
      <w:r>
        <w:rPr>
          <w:rFonts w:ascii="Bookman Old Style" w:hAnsi="Bookman Old Style"/>
          <w:sz w:val="28"/>
          <w:szCs w:val="28"/>
          <w:lang w:val="el-GR"/>
        </w:rPr>
        <w:t xml:space="preserve"> σελίδ</w:t>
      </w:r>
      <w:r w:rsidR="00E53C9B">
        <w:rPr>
          <w:rFonts w:ascii="Bookman Old Style" w:hAnsi="Bookman Old Style"/>
          <w:sz w:val="28"/>
          <w:szCs w:val="28"/>
          <w:lang w:val="el-GR"/>
        </w:rPr>
        <w:t>ες</w:t>
      </w:r>
      <w:r>
        <w:rPr>
          <w:rFonts w:ascii="Bookman Old Style" w:hAnsi="Bookman Old Style"/>
          <w:sz w:val="28"/>
          <w:szCs w:val="28"/>
          <w:lang w:val="el-GR"/>
        </w:rPr>
        <w:t xml:space="preserve"> 168</w:t>
      </w:r>
      <w:r w:rsidR="00E53C9B">
        <w:rPr>
          <w:rFonts w:ascii="Bookman Old Style" w:hAnsi="Bookman Old Style"/>
          <w:sz w:val="28"/>
          <w:szCs w:val="28"/>
          <w:lang w:val="el-GR"/>
        </w:rPr>
        <w:t>-169</w:t>
      </w:r>
      <w:r>
        <w:rPr>
          <w:rFonts w:ascii="Bookman Old Style" w:hAnsi="Bookman Old Style"/>
          <w:sz w:val="28"/>
          <w:szCs w:val="28"/>
          <w:lang w:val="el-GR"/>
        </w:rPr>
        <w:t xml:space="preserve">, δίδεται η ερμηνεία του όρου </w:t>
      </w:r>
      <w:r w:rsidR="002F572F">
        <w:rPr>
          <w:rFonts w:ascii="Bookman Old Style" w:hAnsi="Bookman Old Style"/>
          <w:sz w:val="28"/>
          <w:szCs w:val="28"/>
          <w:lang w:val="el-GR"/>
        </w:rPr>
        <w:t>«</w:t>
      </w:r>
      <w:r w:rsidRPr="002F572F">
        <w:rPr>
          <w:rFonts w:ascii="Bookman Old Style" w:hAnsi="Bookman Old Style"/>
          <w:i/>
          <w:iCs/>
          <w:sz w:val="28"/>
          <w:szCs w:val="28"/>
          <w:lang w:val="el-GR"/>
        </w:rPr>
        <w:t>ταχυδρομικές υπηρεσίες</w:t>
      </w:r>
      <w:r w:rsidR="002F572F">
        <w:rPr>
          <w:rFonts w:ascii="Bookman Old Style" w:hAnsi="Bookman Old Style"/>
          <w:sz w:val="28"/>
          <w:szCs w:val="28"/>
          <w:lang w:val="el-GR"/>
        </w:rPr>
        <w:t>»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2F572F">
        <w:rPr>
          <w:rFonts w:ascii="Bookman Old Style" w:hAnsi="Bookman Old Style"/>
          <w:sz w:val="28"/>
          <w:szCs w:val="28"/>
          <w:lang w:val="el-GR"/>
        </w:rPr>
        <w:t>ο</w:t>
      </w:r>
      <w:r w:rsidR="0087536C">
        <w:rPr>
          <w:rFonts w:ascii="Bookman Old Style" w:hAnsi="Bookman Old Style"/>
          <w:sz w:val="28"/>
          <w:szCs w:val="28"/>
          <w:lang w:val="el-GR"/>
        </w:rPr>
        <w:t xml:space="preserve"> οποί</w:t>
      </w:r>
      <w:r w:rsidR="002F572F">
        <w:rPr>
          <w:rFonts w:ascii="Bookman Old Style" w:hAnsi="Bookman Old Style"/>
          <w:sz w:val="28"/>
          <w:szCs w:val="28"/>
          <w:lang w:val="el-GR"/>
        </w:rPr>
        <w:t>ος</w:t>
      </w:r>
      <w:r w:rsidR="0087536C">
        <w:rPr>
          <w:rFonts w:ascii="Bookman Old Style" w:hAnsi="Bookman Old Style"/>
          <w:sz w:val="28"/>
          <w:szCs w:val="28"/>
          <w:lang w:val="el-GR"/>
        </w:rPr>
        <w:t xml:space="preserve"> περιλαμβάνει και τις υπηρεσίες ταχυμετ</w:t>
      </w:r>
      <w:r w:rsidR="009B3774">
        <w:rPr>
          <w:rFonts w:ascii="Bookman Old Style" w:hAnsi="Bookman Old Style"/>
          <w:sz w:val="28"/>
          <w:szCs w:val="28"/>
          <w:lang w:val="el-GR"/>
        </w:rPr>
        <w:t>α</w:t>
      </w:r>
      <w:r w:rsidR="0087536C">
        <w:rPr>
          <w:rFonts w:ascii="Bookman Old Style" w:hAnsi="Bookman Old Style"/>
          <w:sz w:val="28"/>
          <w:szCs w:val="28"/>
          <w:lang w:val="el-GR"/>
        </w:rPr>
        <w:t>φορών.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AB6813">
        <w:rPr>
          <w:rFonts w:ascii="Bookman Old Style" w:hAnsi="Bookman Old Style"/>
          <w:sz w:val="28"/>
          <w:szCs w:val="28"/>
          <w:lang w:val="el-GR"/>
        </w:rPr>
        <w:t>Το σχετικό απόσπασμα παρατίθεται αυτούσιο</w:t>
      </w:r>
      <w:r w:rsidR="00AB6813" w:rsidRPr="00E53C9B">
        <w:rPr>
          <w:rFonts w:ascii="Bookman Old Style" w:hAnsi="Bookman Old Style"/>
          <w:sz w:val="28"/>
          <w:szCs w:val="28"/>
          <w:lang w:val="el-GR"/>
        </w:rPr>
        <w:t>:</w:t>
      </w:r>
    </w:p>
    <w:p w14:paraId="4EB281C5" w14:textId="2E6D28D3" w:rsidR="00AB6813" w:rsidRDefault="00AB6813" w:rsidP="003D7CA6">
      <w:pPr>
        <w:spacing w:line="240" w:lineRule="auto"/>
        <w:ind w:left="567"/>
        <w:jc w:val="both"/>
        <w:rPr>
          <w:rFonts w:ascii="Bookman Old Style" w:hAnsi="Bookman Old Style"/>
          <w:i/>
          <w:iCs/>
          <w:sz w:val="28"/>
          <w:szCs w:val="28"/>
          <w:lang w:val="el-GR"/>
        </w:rPr>
      </w:pPr>
      <w:r w:rsidRPr="001D7739">
        <w:rPr>
          <w:rFonts w:ascii="Bookman Old Style" w:hAnsi="Bookman Old Style"/>
          <w:sz w:val="28"/>
          <w:szCs w:val="28"/>
          <w:lang w:val="el-GR"/>
        </w:rPr>
        <w:t>«</w:t>
      </w:r>
      <w:r w:rsidR="006C115A" w:rsidRPr="001D7739">
        <w:rPr>
          <w:rFonts w:ascii="Bookman Old Style" w:hAnsi="Bookman Old Style"/>
          <w:i/>
          <w:iCs/>
          <w:sz w:val="28"/>
          <w:szCs w:val="28"/>
          <w:lang w:val="el-GR"/>
        </w:rPr>
        <w:t xml:space="preserve">Ως «ταχυδρομικές υπηρεσίες» για τις ανάγκες ερμηνείας του άρθρ. 14 νοούνται οι δημόσιοι ή ιδιωτικοί φορείς, οι οποίοι διαθέτουν την απαραίτητη άδεια ώστε αν οργανώσουν τη συστημένη ταχυδρομική υπηρεσία που προβλέπει η προκείμενη διάταξη. Ενόψει των σχετικών διευκρινίσεων της Προτάσεως Κανονισμού, συνάγεται ότι η εμβέλεια του όρου δεν εξαντλείται μόνον στους φορείς που είναι επιφορτισμένοι με τη διενέργεια της καθολικής ταχυδρομικής υπηρεσίας. … είναι διερευνητέο κατά πόσον είναι επιτρεπτή η διαβίβαση του επιδοτέου εγγράφου μέσω ιδιωτικών φορέων γενικής άδειας. Το ερώτημα διατηρεί αξιόλογη πρακτική σημασία </w:t>
      </w:r>
      <w:r w:rsidR="00C615B0" w:rsidRPr="001D7739">
        <w:rPr>
          <w:rFonts w:ascii="Bookman Old Style" w:hAnsi="Bookman Old Style"/>
          <w:i/>
          <w:iCs/>
          <w:sz w:val="28"/>
          <w:szCs w:val="28"/>
          <w:lang w:val="el-GR"/>
        </w:rPr>
        <w:t>δοθέν</w:t>
      </w:r>
      <w:r w:rsidR="009B3774" w:rsidRPr="001D7739">
        <w:rPr>
          <w:rFonts w:ascii="Bookman Old Style" w:hAnsi="Bookman Old Style"/>
          <w:i/>
          <w:iCs/>
          <w:sz w:val="28"/>
          <w:szCs w:val="28"/>
          <w:lang w:val="el-GR"/>
        </w:rPr>
        <w:t>το</w:t>
      </w:r>
      <w:r w:rsidR="00C615B0" w:rsidRPr="001D7739">
        <w:rPr>
          <w:rFonts w:ascii="Bookman Old Style" w:hAnsi="Bookman Old Style"/>
          <w:i/>
          <w:iCs/>
          <w:sz w:val="28"/>
          <w:szCs w:val="28"/>
          <w:lang w:val="el-GR"/>
        </w:rPr>
        <w:t>ς ότι υπό καθεστώς γενικής άδειας λειτουργούν στην Ελλάδα οι εταιρεί</w:t>
      </w:r>
      <w:r w:rsidR="00F51B76">
        <w:rPr>
          <w:rFonts w:ascii="Bookman Old Style" w:hAnsi="Bookman Old Style"/>
          <w:i/>
          <w:iCs/>
          <w:sz w:val="28"/>
          <w:szCs w:val="28"/>
          <w:lang w:val="el-GR"/>
        </w:rPr>
        <w:t>ες</w:t>
      </w:r>
      <w:r w:rsidR="00C615B0" w:rsidRPr="001D7739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που δραστηριοποιούνται στην παροχή υπηρεσιών ταχυμεταφοράς </w:t>
      </w:r>
      <w:r w:rsidR="007231DD" w:rsidRPr="001D7739">
        <w:rPr>
          <w:rFonts w:ascii="Bookman Old Style" w:hAnsi="Bookman Old Style"/>
          <w:i/>
          <w:iCs/>
          <w:sz w:val="28"/>
          <w:szCs w:val="28"/>
          <w:lang w:val="el-GR"/>
        </w:rPr>
        <w:t>(</w:t>
      </w:r>
      <w:r w:rsidR="007231DD" w:rsidRPr="001D7739">
        <w:rPr>
          <w:rFonts w:ascii="Bookman Old Style" w:hAnsi="Bookman Old Style"/>
          <w:i/>
          <w:iCs/>
          <w:sz w:val="28"/>
          <w:szCs w:val="28"/>
        </w:rPr>
        <w:t>courier</w:t>
      </w:r>
      <w:r w:rsidR="007231DD" w:rsidRPr="001D7739">
        <w:rPr>
          <w:rFonts w:ascii="Bookman Old Style" w:hAnsi="Bookman Old Style"/>
          <w:i/>
          <w:iCs/>
          <w:sz w:val="28"/>
          <w:szCs w:val="28"/>
          <w:lang w:val="el-GR"/>
        </w:rPr>
        <w:t xml:space="preserve">). Ως προς το σχετικό προβληματισμό </w:t>
      </w:r>
      <w:r w:rsidR="004A004C" w:rsidRPr="001D7739">
        <w:rPr>
          <w:rFonts w:ascii="Bookman Old Style" w:hAnsi="Bookman Old Style"/>
          <w:i/>
          <w:iCs/>
          <w:sz w:val="28"/>
          <w:szCs w:val="28"/>
          <w:lang w:val="el-GR"/>
        </w:rPr>
        <w:t xml:space="preserve">προτείνεται υπό το ελληνικό δίκαιο η καταφατική εκδοχή. Η καταφατική ερμηνευτική εκδοχή φαίνεται να βρίσκει επαρκές έρεισμα και στη διατύπωση της προκείμενης διατάξεως η οποία αρκείται και στη βεβαίωση της παραλαβής με «ισοδύναμο έγγραφο» προς απόδειξη παραλαβής. Δεδομένου ότι η επίδοση μέσω </w:t>
      </w:r>
      <w:r w:rsidR="004A004C" w:rsidRPr="001D7739">
        <w:rPr>
          <w:rFonts w:ascii="Bookman Old Style" w:hAnsi="Bookman Old Style"/>
          <w:i/>
          <w:iCs/>
          <w:sz w:val="28"/>
          <w:szCs w:val="28"/>
        </w:rPr>
        <w:t>courier</w:t>
      </w:r>
      <w:r w:rsidR="004A004C" w:rsidRPr="001D7739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παρέχει συνήθως υψηλά εχέγγυα για την πραγματική παράδοση του εγγράφου στον παραλήπτη έναντι της αποστολής με συστημένη επιστολή επί αποδείξει ορθότερη παρίσταται η εκδοχή ότι καλύπτεται και αυτή από το νοηματικό εύρος των «ταχυδρομικών υπηρεσιών» σύμφωνα με την προκείμενη διάταξη.</w:t>
      </w:r>
      <w:r w:rsidR="004A004C" w:rsidRPr="001D7739">
        <w:rPr>
          <w:rFonts w:ascii="Bookman Old Style" w:hAnsi="Bookman Old Style"/>
          <w:sz w:val="28"/>
          <w:szCs w:val="28"/>
          <w:lang w:val="el-GR"/>
        </w:rPr>
        <w:t>»</w:t>
      </w:r>
      <w:r w:rsidR="004A004C" w:rsidRPr="001D7739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</w:p>
    <w:p w14:paraId="3874784B" w14:textId="77777777" w:rsidR="001D7739" w:rsidRPr="001D7739" w:rsidRDefault="001D7739" w:rsidP="001D7739">
      <w:pPr>
        <w:spacing w:line="240" w:lineRule="auto"/>
        <w:ind w:left="283" w:firstLine="720"/>
        <w:jc w:val="both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111748C2" w14:textId="794A25CD" w:rsidR="004051AA" w:rsidRDefault="004051AA" w:rsidP="003D7CA6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Είναι γεγονός ότι το διάταγμα ημερ. 26.4.2016 αφορούσε και άλλους εναγόμενους, τους εναγόμενους 5, 10 και 14. Στο ίδιο το συνταχθέν διάταγμα, μετά την παράγραφο για τη διαταγή όπως η επίδοση στους εναγόμενους 5, 7, 10 και 14 γίνει σύμφωνα με τις πρόνοιες του </w:t>
      </w:r>
      <w:r w:rsidRPr="004051A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</w:t>
      </w:r>
      <w:r>
        <w:rPr>
          <w:rFonts w:ascii="Bookman Old Style" w:hAnsi="Bookman Old Style"/>
          <w:sz w:val="28"/>
          <w:szCs w:val="28"/>
          <w:lang w:val="el-GR"/>
        </w:rPr>
        <w:t xml:space="preserve"> του </w:t>
      </w:r>
      <w:r w:rsidRPr="004051A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ΕΚ 1393/07</w:t>
      </w:r>
      <w:r w:rsidR="00207E98">
        <w:rPr>
          <w:rFonts w:ascii="Bookman Old Style" w:hAnsi="Bookman Old Style"/>
          <w:sz w:val="28"/>
          <w:szCs w:val="28"/>
          <w:lang w:val="el-GR"/>
        </w:rPr>
        <w:t>, α</w:t>
      </w:r>
      <w:r>
        <w:rPr>
          <w:rFonts w:ascii="Bookman Old Style" w:hAnsi="Bookman Old Style"/>
          <w:sz w:val="28"/>
          <w:szCs w:val="28"/>
          <w:lang w:val="el-GR"/>
        </w:rPr>
        <w:t xml:space="preserve">κολουθεί παράγραφος με διαταγή όπως για τους εναγόμενους 5, 10 και 14 η επίδοση γίνει σύμφωνα με τους Θεσμούς και με υποκατάστατη επίδοση μέσω αγγελιοφόρων </w:t>
      </w:r>
      <w:r w:rsidRPr="004051AA">
        <w:rPr>
          <w:rFonts w:ascii="Bookman Old Style" w:hAnsi="Bookman Old Style"/>
          <w:sz w:val="28"/>
          <w:szCs w:val="28"/>
          <w:lang w:val="el-GR"/>
        </w:rPr>
        <w:t>(</w:t>
      </w:r>
      <w:r>
        <w:rPr>
          <w:rFonts w:ascii="Bookman Old Style" w:hAnsi="Bookman Old Style"/>
          <w:sz w:val="28"/>
          <w:szCs w:val="28"/>
          <w:lang w:val="en-GB"/>
        </w:rPr>
        <w:t>courier</w:t>
      </w:r>
      <w:r w:rsidRPr="004051AA">
        <w:rPr>
          <w:rFonts w:ascii="Bookman Old Style" w:hAnsi="Bookman Old Style"/>
          <w:sz w:val="28"/>
          <w:szCs w:val="28"/>
          <w:lang w:val="el-GR"/>
        </w:rPr>
        <w:t xml:space="preserve">) </w:t>
      </w:r>
      <w:r>
        <w:rPr>
          <w:rFonts w:ascii="Bookman Old Style" w:hAnsi="Bookman Old Style"/>
          <w:sz w:val="28"/>
          <w:szCs w:val="28"/>
          <w:lang w:val="el-GR"/>
        </w:rPr>
        <w:t xml:space="preserve">και όπως τα έγγραφα που θα επιδοθούν να συνοδεύονται από αγγλική μετάφραση. </w:t>
      </w:r>
    </w:p>
    <w:p w14:paraId="2496E455" w14:textId="27BC8AFD" w:rsidR="00CA5A5D" w:rsidRDefault="00CA5A5D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Από τη στιγμή</w:t>
      </w:r>
      <w:r w:rsidR="00471A2E">
        <w:rPr>
          <w:rFonts w:ascii="Bookman Old Style" w:hAnsi="Bookman Old Style"/>
          <w:sz w:val="28"/>
          <w:szCs w:val="28"/>
          <w:lang w:val="el-GR"/>
        </w:rPr>
        <w:t>,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471A2E">
        <w:rPr>
          <w:rFonts w:ascii="Bookman Old Style" w:hAnsi="Bookman Old Style"/>
          <w:sz w:val="28"/>
          <w:szCs w:val="28"/>
          <w:lang w:val="el-GR"/>
        </w:rPr>
        <w:t>όμως,</w:t>
      </w:r>
      <w:r>
        <w:rPr>
          <w:rFonts w:ascii="Bookman Old Style" w:hAnsi="Bookman Old Style"/>
          <w:sz w:val="28"/>
          <w:szCs w:val="28"/>
          <w:lang w:val="el-GR"/>
        </w:rPr>
        <w:t xml:space="preserve"> που το </w:t>
      </w:r>
      <w:r w:rsidRPr="001A444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>
        <w:rPr>
          <w:rFonts w:ascii="Bookman Old Style" w:hAnsi="Bookman Old Style"/>
          <w:sz w:val="28"/>
          <w:szCs w:val="28"/>
          <w:lang w:val="el-GR"/>
        </w:rPr>
        <w:t xml:space="preserve"> περιλαμβάνει την επίδοση μέσω υπηρεσίας ταχυμεταφορών, η παράλειψη ρητής αναφοράς για αυτόν τον τρόπο επίδοσης και στον Εφεσίβλητο (εναγόμενο 7) δεν </w:t>
      </w:r>
      <w:r w:rsidR="001A4447">
        <w:rPr>
          <w:rFonts w:ascii="Bookman Old Style" w:hAnsi="Bookman Old Style"/>
          <w:sz w:val="28"/>
          <w:szCs w:val="28"/>
          <w:lang w:val="el-GR"/>
        </w:rPr>
        <w:t xml:space="preserve">διαφοροποιεί την κατάσταση και ουδόλως αναιρεί τη διαταγή για επίδοση σύμφωνα με το </w:t>
      </w:r>
      <w:r w:rsidR="001A4447" w:rsidRPr="001A444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 w:rsidR="001A4447">
        <w:rPr>
          <w:rFonts w:ascii="Bookman Old Style" w:hAnsi="Bookman Old Style"/>
          <w:sz w:val="28"/>
          <w:szCs w:val="28"/>
          <w:lang w:val="el-GR"/>
        </w:rPr>
        <w:t xml:space="preserve"> η οποία εξακολουθεί να ισχύει. </w:t>
      </w:r>
      <w:r w:rsidR="009072CA">
        <w:rPr>
          <w:rFonts w:ascii="Bookman Old Style" w:hAnsi="Bookman Old Style"/>
          <w:sz w:val="28"/>
          <w:szCs w:val="28"/>
          <w:lang w:val="el-GR"/>
        </w:rPr>
        <w:t xml:space="preserve">Η διατύπωση </w:t>
      </w:r>
      <w:r w:rsidR="009F053E">
        <w:rPr>
          <w:rFonts w:ascii="Bookman Old Style" w:hAnsi="Bookman Old Style"/>
          <w:sz w:val="28"/>
          <w:szCs w:val="28"/>
          <w:lang w:val="el-GR"/>
        </w:rPr>
        <w:t xml:space="preserve">του διατάγματος </w:t>
      </w:r>
      <w:r w:rsidR="009072CA">
        <w:rPr>
          <w:rFonts w:ascii="Bookman Old Style" w:hAnsi="Bookman Old Style"/>
          <w:sz w:val="28"/>
          <w:szCs w:val="28"/>
          <w:lang w:val="el-GR"/>
        </w:rPr>
        <w:t xml:space="preserve">δεν αλλοιώνει το διάταγμα και το περιεχόμενο του αναφορικά με τον Εφεσίβλητο. </w:t>
      </w:r>
    </w:p>
    <w:p w14:paraId="6373CE00" w14:textId="2B2D7F78" w:rsidR="00E20192" w:rsidRDefault="00E20192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Με βάση όσα αναφέρουμε ανωτέρω, </w:t>
      </w:r>
      <w:r w:rsidR="006F2CC1">
        <w:rPr>
          <w:rFonts w:ascii="Bookman Old Style" w:hAnsi="Bookman Old Style"/>
          <w:sz w:val="28"/>
          <w:szCs w:val="28"/>
          <w:lang w:val="el-GR"/>
        </w:rPr>
        <w:t xml:space="preserve">θεωρούμε </w:t>
      </w:r>
      <w:r>
        <w:rPr>
          <w:rFonts w:ascii="Bookman Old Style" w:hAnsi="Bookman Old Style"/>
          <w:sz w:val="28"/>
          <w:szCs w:val="28"/>
          <w:lang w:val="el-GR"/>
        </w:rPr>
        <w:t xml:space="preserve">ότι η διαταχθείσα με βάση το </w:t>
      </w:r>
      <w:r w:rsidRPr="006310B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 14 </w:t>
      </w:r>
      <w:r w:rsidRPr="006310BE">
        <w:rPr>
          <w:rFonts w:ascii="Bookman Old Style" w:hAnsi="Bookman Old Style"/>
          <w:sz w:val="28"/>
          <w:szCs w:val="28"/>
          <w:lang w:val="el-GR"/>
        </w:rPr>
        <w:t>του</w:t>
      </w:r>
      <w:r>
        <w:rPr>
          <w:rFonts w:ascii="Bookman Old Style" w:hAnsi="Bookman Old Style"/>
          <w:sz w:val="28"/>
          <w:szCs w:val="28"/>
          <w:lang w:val="el-GR"/>
        </w:rPr>
        <w:t xml:space="preserve"> Κανονισμού επίδοση συμπεριελάμβανε την επίδοση μέσω υπηρεσίας ταχυμεταφορών</w:t>
      </w:r>
      <w:r w:rsidR="004E4B76">
        <w:rPr>
          <w:rFonts w:ascii="Bookman Old Style" w:hAnsi="Bookman Old Style"/>
          <w:sz w:val="28"/>
          <w:szCs w:val="28"/>
          <w:lang w:val="el-GR"/>
        </w:rPr>
        <w:t>, την οποία η Ελλάδα συμφώνησε να ακολουθήσει,</w:t>
      </w:r>
      <w:r>
        <w:rPr>
          <w:rFonts w:ascii="Bookman Old Style" w:hAnsi="Bookman Old Style"/>
          <w:sz w:val="28"/>
          <w:szCs w:val="28"/>
          <w:lang w:val="el-GR"/>
        </w:rPr>
        <w:t xml:space="preserve"> και δεν τύγχανε εφαρμογής το </w:t>
      </w:r>
      <w:r w:rsidRPr="006310B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4</w:t>
      </w:r>
      <w:r>
        <w:rPr>
          <w:rFonts w:ascii="Bookman Old Style" w:hAnsi="Bookman Old Style"/>
          <w:sz w:val="28"/>
          <w:szCs w:val="28"/>
          <w:lang w:val="el-GR"/>
        </w:rPr>
        <w:t xml:space="preserve">. Επομένως οι </w:t>
      </w:r>
      <w:r w:rsidR="00D6194D">
        <w:rPr>
          <w:rFonts w:ascii="Bookman Old Style" w:hAnsi="Bookman Old Style"/>
          <w:sz w:val="28"/>
          <w:szCs w:val="28"/>
          <w:lang w:val="el-GR"/>
        </w:rPr>
        <w:t xml:space="preserve">περί του αντιθέτου </w:t>
      </w:r>
      <w:r>
        <w:rPr>
          <w:rFonts w:ascii="Bookman Old Style" w:hAnsi="Bookman Old Style"/>
          <w:sz w:val="28"/>
          <w:szCs w:val="28"/>
          <w:lang w:val="el-GR"/>
        </w:rPr>
        <w:t>διαπιστώσεις του πρωτόδικου Δικαστηρίου κρίνονται εσφαλμένες και οι λόγοι έφεσης 2</w:t>
      </w:r>
      <w:r w:rsidR="00BE3E50">
        <w:rPr>
          <w:rFonts w:ascii="Bookman Old Style" w:hAnsi="Bookman Old Style"/>
          <w:sz w:val="28"/>
          <w:szCs w:val="28"/>
          <w:lang w:val="el-GR"/>
        </w:rPr>
        <w:t xml:space="preserve"> – 5 είναι </w:t>
      </w:r>
      <w:r>
        <w:rPr>
          <w:rFonts w:ascii="Bookman Old Style" w:hAnsi="Bookman Old Style"/>
          <w:sz w:val="28"/>
          <w:szCs w:val="28"/>
          <w:lang w:val="el-GR"/>
        </w:rPr>
        <w:t xml:space="preserve">βάσιμοι. </w:t>
      </w:r>
    </w:p>
    <w:p w14:paraId="6CFB15D7" w14:textId="6D77EE23" w:rsidR="005E5A1C" w:rsidRDefault="00E20192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Στην προκειμένη περίπτωση, η επίδοση έγινε με </w:t>
      </w:r>
      <w:r w:rsidR="001E1F88">
        <w:rPr>
          <w:rFonts w:ascii="Bookman Old Style" w:hAnsi="Bookman Old Style"/>
          <w:sz w:val="28"/>
          <w:szCs w:val="28"/>
          <w:lang w:val="el-GR"/>
        </w:rPr>
        <w:t xml:space="preserve">ένα εκ των τρόπων </w:t>
      </w:r>
      <w:r w:rsidR="00D6194D">
        <w:rPr>
          <w:rFonts w:ascii="Bookman Old Style" w:hAnsi="Bookman Old Style"/>
          <w:sz w:val="28"/>
          <w:szCs w:val="28"/>
          <w:lang w:val="el-GR"/>
        </w:rPr>
        <w:t>που προβλέπονται σ</w:t>
      </w:r>
      <w:r>
        <w:rPr>
          <w:rFonts w:ascii="Bookman Old Style" w:hAnsi="Bookman Old Style"/>
          <w:sz w:val="28"/>
          <w:szCs w:val="28"/>
          <w:lang w:val="el-GR"/>
        </w:rPr>
        <w:t xml:space="preserve">το </w:t>
      </w:r>
      <w:r w:rsidRPr="004D3A1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14</w:t>
      </w:r>
      <w:r>
        <w:rPr>
          <w:rFonts w:ascii="Bookman Old Style" w:hAnsi="Bookman Old Style"/>
          <w:sz w:val="28"/>
          <w:szCs w:val="28"/>
          <w:lang w:val="el-GR"/>
        </w:rPr>
        <w:t xml:space="preserve"> του Κανονισμού και παρουσιάστηκε η σχετική μαρτυρία προς απόδειξη της επίτευξης </w:t>
      </w:r>
      <w:r w:rsidR="00783BF1">
        <w:rPr>
          <w:rFonts w:ascii="Bookman Old Style" w:hAnsi="Bookman Old Style"/>
          <w:sz w:val="28"/>
          <w:szCs w:val="28"/>
          <w:lang w:val="el-GR"/>
        </w:rPr>
        <w:t>αυτής,</w:t>
      </w:r>
      <w:r>
        <w:rPr>
          <w:rFonts w:ascii="Bookman Old Style" w:hAnsi="Bookman Old Style"/>
          <w:sz w:val="28"/>
          <w:szCs w:val="28"/>
          <w:lang w:val="el-GR"/>
        </w:rPr>
        <w:t xml:space="preserve"> μέσω της </w:t>
      </w:r>
      <w:r w:rsidR="00783BF1">
        <w:rPr>
          <w:rFonts w:ascii="Bookman Old Style" w:hAnsi="Bookman Old Style"/>
          <w:sz w:val="28"/>
          <w:szCs w:val="28"/>
          <w:lang w:val="el-GR"/>
        </w:rPr>
        <w:t xml:space="preserve">περιγραφής των εγγράφων που επιδόθηκαν και της </w:t>
      </w:r>
      <w:r w:rsidR="00566E93">
        <w:rPr>
          <w:rFonts w:ascii="Bookman Old Style" w:hAnsi="Bookman Old Style"/>
          <w:sz w:val="28"/>
          <w:szCs w:val="28"/>
          <w:lang w:val="el-GR"/>
        </w:rPr>
        <w:t xml:space="preserve">παρουσίασης της </w:t>
      </w:r>
      <w:r>
        <w:rPr>
          <w:rFonts w:ascii="Bookman Old Style" w:hAnsi="Bookman Old Style"/>
          <w:sz w:val="28"/>
          <w:szCs w:val="28"/>
          <w:lang w:val="el-GR"/>
        </w:rPr>
        <w:t xml:space="preserve">απόδειξης αποστολής και παραλαβής. </w:t>
      </w:r>
      <w:r w:rsidR="00384E08">
        <w:rPr>
          <w:rFonts w:ascii="Bookman Old Style" w:hAnsi="Bookman Old Style"/>
          <w:sz w:val="28"/>
          <w:szCs w:val="28"/>
          <w:lang w:val="el-GR"/>
        </w:rPr>
        <w:t xml:space="preserve">Για τους σκοπούς του </w:t>
      </w:r>
      <w:r w:rsidR="00384E08" w:rsidRPr="007E35A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</w:t>
      </w:r>
      <w:r w:rsidR="00384E08">
        <w:rPr>
          <w:rFonts w:ascii="Bookman Old Style" w:hAnsi="Bookman Old Style"/>
          <w:sz w:val="28"/>
          <w:szCs w:val="28"/>
          <w:lang w:val="el-GR"/>
        </w:rPr>
        <w:t xml:space="preserve">, παρουσιάστηκε απόδειξη παραλαβής και θα μπορούσε ακόμη να λεχθεί πως παρουσιάστηκε ισοδύναμο έγγραφο το οποίο δείχνει την παραλαβή των εγγράφων αναφορικά με τον Εφεσίβλητο. Αυτή η μαρτυρία είναι ικανή να καταδείξει ότι η επίδοση έγινε δεόντως. Η θέση του πρωτόδικου Δικαστηρίου ότι δεν υπήρχε μαρτυρία πως ο Εφεσίβλητος αποδέχθηκε την επίδοση χωρίς να εγείρει ζήτημα αποδοχής της επίδοσης, ως ορίζει το </w:t>
      </w:r>
      <w:r w:rsidR="00384E08" w:rsidRPr="0053467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8</w:t>
      </w:r>
      <w:r w:rsidR="00384E08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3467B">
        <w:rPr>
          <w:rFonts w:ascii="Bookman Old Style" w:hAnsi="Bookman Old Style"/>
          <w:sz w:val="28"/>
          <w:szCs w:val="28"/>
          <w:lang w:val="el-GR"/>
        </w:rPr>
        <w:t xml:space="preserve">και πάλι κρίνεται λανθασμένη. Το εν λόγω άρθρο αφορά στην επίδοση που γίνεται με τον τρόπο που περιγράφεται στο </w:t>
      </w:r>
      <w:r w:rsidR="0053467B" w:rsidRPr="0053467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Τμήμα 1</w:t>
      </w:r>
      <w:r w:rsidR="0053467B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710B91">
        <w:rPr>
          <w:rFonts w:ascii="Bookman Old Style" w:hAnsi="Bookman Old Style"/>
          <w:sz w:val="28"/>
          <w:szCs w:val="28"/>
          <w:lang w:val="el-GR"/>
        </w:rPr>
        <w:t xml:space="preserve">το οποίο δεν τυγχάνει εφαρμογής στην προκειμένη περίπτωση, </w:t>
      </w:r>
      <w:r w:rsidR="0053467B">
        <w:rPr>
          <w:rFonts w:ascii="Bookman Old Style" w:hAnsi="Bookman Old Style"/>
          <w:sz w:val="28"/>
          <w:szCs w:val="28"/>
          <w:lang w:val="el-GR"/>
        </w:rPr>
        <w:t xml:space="preserve">ενώ για την επίδοση η οποία διενεργείται δυνάμει του </w:t>
      </w:r>
      <w:r w:rsidR="0053467B" w:rsidRPr="0053467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άρθρου 14</w:t>
      </w:r>
      <w:r w:rsidR="0053467B">
        <w:rPr>
          <w:rFonts w:ascii="Bookman Old Style" w:hAnsi="Bookman Old Style"/>
          <w:sz w:val="28"/>
          <w:szCs w:val="28"/>
          <w:lang w:val="el-GR"/>
        </w:rPr>
        <w:t xml:space="preserve">, απαιτείται μόνο η απόδειξη παραλαβής ή άλλο ισοδύναμο έγγραφο. </w:t>
      </w:r>
    </w:p>
    <w:p w14:paraId="0D074EB4" w14:textId="03AD0C19" w:rsidR="00EE55D1" w:rsidRPr="006A1FE2" w:rsidRDefault="005E5A1C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Όπως έχει λεχθεί σ</w:t>
      </w:r>
      <w:r w:rsidR="00F775BE">
        <w:rPr>
          <w:rFonts w:ascii="Bookman Old Style" w:hAnsi="Bookman Old Style"/>
          <w:sz w:val="28"/>
          <w:szCs w:val="28"/>
          <w:lang w:val="el-GR"/>
        </w:rPr>
        <w:t xml:space="preserve">τις υποθέσεις </w:t>
      </w:r>
      <w:r w:rsidR="00F775BE" w:rsidRPr="006A1FE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Φραγκέσκου κ.ά. </w:t>
      </w:r>
      <w:r w:rsidR="00F775BE" w:rsidRPr="006A1FE2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 w:rsidR="00F775BE" w:rsidRPr="006A1FE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Γρηγορίου (2000) 1(Γ) Α.Α.Δ. 1765</w:t>
      </w:r>
      <w:r w:rsidR="00F775B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F775BE" w:rsidRPr="006A1FE2">
        <w:rPr>
          <w:rFonts w:ascii="Bookman Old Style" w:hAnsi="Bookman Old Style"/>
          <w:sz w:val="28"/>
          <w:szCs w:val="28"/>
          <w:lang w:val="el-GR"/>
        </w:rPr>
        <w:t>και</w:t>
      </w:r>
      <w:r w:rsidR="00F775B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F775BE">
        <w:rPr>
          <w:rFonts w:ascii="Bookman Old Style" w:hAnsi="Bookman Old Style"/>
          <w:b/>
          <w:bCs/>
          <w:i/>
          <w:iCs/>
          <w:sz w:val="28"/>
          <w:szCs w:val="28"/>
        </w:rPr>
        <w:t>Karim</w:t>
      </w:r>
      <w:r w:rsidR="00F775BE" w:rsidRPr="006A1FE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F775BE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 w:rsidR="00F775BE" w:rsidRPr="006A1FE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F775B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Κοδινάρη (1994) 1 Α.Α.Δ. 36</w:t>
      </w:r>
      <w:r w:rsidR="00F775BE" w:rsidRPr="006A1FE2">
        <w:rPr>
          <w:rFonts w:ascii="Bookman Old Style" w:hAnsi="Bookman Old Style"/>
          <w:sz w:val="28"/>
          <w:szCs w:val="28"/>
          <w:lang w:val="el-GR"/>
        </w:rPr>
        <w:t>,</w:t>
      </w:r>
      <w:r w:rsidR="00F775BE" w:rsidRPr="006A1FE2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F775BE">
        <w:rPr>
          <w:rFonts w:ascii="Bookman Old Style" w:hAnsi="Bookman Old Style"/>
          <w:sz w:val="28"/>
          <w:szCs w:val="28"/>
          <w:lang w:val="el-GR"/>
        </w:rPr>
        <w:t xml:space="preserve">στις περιπτώσεις επίδοσης εκτός δικαιοδοσίας και ή υποκατάστατης επίδοσης, το κύριο ερώτημα είναι κατά πόσο ο προσφερόμενος τρόπος θα θέσει κατά λογική προοπτική, αν όχι βεβαιότητα, το κλητήριο υπόψιν του εναγόμενου. </w:t>
      </w:r>
      <w:r w:rsidR="007E35AE">
        <w:rPr>
          <w:rFonts w:ascii="Bookman Old Style" w:hAnsi="Bookman Old Style"/>
          <w:sz w:val="28"/>
          <w:szCs w:val="28"/>
          <w:lang w:val="el-GR"/>
        </w:rPr>
        <w:t>Ως εκ τούτου, α</w:t>
      </w:r>
      <w:r w:rsidR="00EE55D1">
        <w:rPr>
          <w:rFonts w:ascii="Bookman Old Style" w:hAnsi="Bookman Old Style"/>
          <w:sz w:val="28"/>
          <w:szCs w:val="28"/>
          <w:lang w:val="el-GR"/>
        </w:rPr>
        <w:t>νεξαρτήτως των πιο πάνω διαπιστώσεων μας, κρίνουμε ορθό να αναφέρουμε ότι ο σκοπός της επίδοσης δεν είναι άλλος από τη λήψη γνώσης από το εμπλεκόμενο ή ενδιαφερόμενο μέρος τ</w:t>
      </w:r>
      <w:r w:rsidR="00280E9F">
        <w:rPr>
          <w:rFonts w:ascii="Bookman Old Style" w:hAnsi="Bookman Old Style"/>
          <w:sz w:val="28"/>
          <w:szCs w:val="28"/>
          <w:lang w:val="el-GR"/>
        </w:rPr>
        <w:t>ων δικαστικών εγγράφων, κάτι το οποίο σαφώς έχει επιτευχθεί στην προκειμένη περίπτωση</w:t>
      </w:r>
      <w:r w:rsidR="006A1FE2"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49B0E736" w14:textId="22E84AB6" w:rsidR="00E20192" w:rsidRDefault="006B0A6C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Διαπιστώνουμε ότι 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η επίδοση έγινε καθόλα ορθώς </w:t>
      </w:r>
      <w:r w:rsidR="00FA730F">
        <w:rPr>
          <w:rFonts w:ascii="Bookman Old Style" w:hAnsi="Bookman Old Style"/>
          <w:sz w:val="28"/>
          <w:szCs w:val="28"/>
          <w:lang w:val="el-GR"/>
        </w:rPr>
        <w:t xml:space="preserve">και σύμφωνα με το διάταγμα του Δικαστηρίου </w:t>
      </w:r>
      <w:r w:rsidR="00E20192">
        <w:rPr>
          <w:rFonts w:ascii="Bookman Old Style" w:hAnsi="Bookman Old Style"/>
          <w:sz w:val="28"/>
          <w:szCs w:val="28"/>
          <w:lang w:val="el-GR"/>
        </w:rPr>
        <w:t>και επομένως το πρωτόδικο Δικαστήριο όφειλε να</w:t>
      </w:r>
      <w:r w:rsidR="00F3294C">
        <w:rPr>
          <w:rFonts w:ascii="Bookman Old Style" w:hAnsi="Bookman Old Style"/>
          <w:sz w:val="28"/>
          <w:szCs w:val="28"/>
          <w:lang w:val="el-GR"/>
        </w:rPr>
        <w:t xml:space="preserve"> καταλήξει ότι αυτή ήταν κανονική και να απορρίψει την αίτηση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B75CCC">
        <w:rPr>
          <w:rFonts w:ascii="Bookman Old Style" w:hAnsi="Bookman Old Style"/>
          <w:sz w:val="28"/>
          <w:szCs w:val="28"/>
          <w:lang w:val="el-GR"/>
        </w:rPr>
        <w:t xml:space="preserve">Επομένως και ο λόγος 7 κρίνεται βάσιμος. </w:t>
      </w:r>
    </w:p>
    <w:p w14:paraId="7BB017AB" w14:textId="6E65D55F" w:rsidR="00B75CCC" w:rsidRDefault="00B75CCC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Ενόψει της κατάληξης της αίτησης, εσφαλμένη είναι και η διαταγή για τα έξοδα της πρωτόδικης διαδικασίας τα οποία θα πρέπει να τα επωμιστεί ο διάδικος που έχει αποτύχει, ήτοι ο Εφεσίβλητος.</w:t>
      </w:r>
      <w:r w:rsidR="00E05ECE">
        <w:rPr>
          <w:rFonts w:ascii="Bookman Old Style" w:hAnsi="Bookman Old Style"/>
          <w:sz w:val="28"/>
          <w:szCs w:val="28"/>
          <w:lang w:val="el-GR"/>
        </w:rPr>
        <w:t xml:space="preserve"> Ως εκ τούτου και ο όγδοος λόγος έφεσης επιτυγχάνει. </w:t>
      </w:r>
    </w:p>
    <w:p w14:paraId="390A2723" w14:textId="17ABFF36" w:rsidR="00E20192" w:rsidRDefault="006B0A6C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Η </w:t>
      </w:r>
      <w:r w:rsidR="00E20192">
        <w:rPr>
          <w:rFonts w:ascii="Bookman Old Style" w:hAnsi="Bookman Old Style"/>
          <w:sz w:val="28"/>
          <w:szCs w:val="28"/>
          <w:lang w:val="el-GR"/>
        </w:rPr>
        <w:t>Έφεση επιτυγχάνει. Η πρωτόδικ</w:t>
      </w:r>
      <w:r w:rsidR="00B75CCC">
        <w:rPr>
          <w:rFonts w:ascii="Bookman Old Style" w:hAnsi="Bookman Old Style"/>
          <w:sz w:val="28"/>
          <w:szCs w:val="28"/>
          <w:lang w:val="el-GR"/>
        </w:rPr>
        <w:t>η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 απόφαση παραμερίζεται</w:t>
      </w:r>
      <w:r>
        <w:rPr>
          <w:rFonts w:ascii="Bookman Old Style" w:hAnsi="Bookman Old Style"/>
          <w:sz w:val="28"/>
          <w:szCs w:val="28"/>
          <w:lang w:val="el-GR"/>
        </w:rPr>
        <w:t xml:space="preserve"> και η αίτηση απορρίπτεται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3B39BB">
        <w:rPr>
          <w:rFonts w:ascii="Bookman Old Style" w:hAnsi="Bookman Old Style"/>
          <w:sz w:val="28"/>
          <w:szCs w:val="28"/>
          <w:lang w:val="el-GR"/>
        </w:rPr>
        <w:t xml:space="preserve">Τα 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έξοδα της πρωτόδικης διαδικασίας επιδικάζονται υπέρ του Εφεσείοντος και εναντίον του Εφεσίβλητου </w:t>
      </w:r>
      <w:r w:rsidR="0012450B">
        <w:rPr>
          <w:rFonts w:ascii="Bookman Old Style" w:hAnsi="Bookman Old Style"/>
          <w:sz w:val="28"/>
          <w:szCs w:val="28"/>
          <w:lang w:val="el-GR"/>
        </w:rPr>
        <w:t xml:space="preserve">όπως υπολογιστούν από τον </w:t>
      </w:r>
      <w:r w:rsidR="006E1926">
        <w:rPr>
          <w:rFonts w:ascii="Bookman Old Style" w:hAnsi="Bookman Old Style"/>
          <w:sz w:val="28"/>
          <w:szCs w:val="28"/>
          <w:lang w:val="el-GR"/>
        </w:rPr>
        <w:t xml:space="preserve">αρμόδιο </w:t>
      </w:r>
      <w:r w:rsidR="0012450B">
        <w:rPr>
          <w:rFonts w:ascii="Bookman Old Style" w:hAnsi="Bookman Old Style"/>
          <w:sz w:val="28"/>
          <w:szCs w:val="28"/>
          <w:lang w:val="el-GR"/>
        </w:rPr>
        <w:t xml:space="preserve">Πρωτοκολλητή και εγκριθούν από το </w:t>
      </w:r>
      <w:r w:rsidR="006E1926">
        <w:rPr>
          <w:rFonts w:ascii="Bookman Old Style" w:hAnsi="Bookman Old Style"/>
          <w:sz w:val="28"/>
          <w:szCs w:val="28"/>
          <w:lang w:val="el-GR"/>
        </w:rPr>
        <w:t xml:space="preserve">αρμόδιο </w:t>
      </w:r>
      <w:r w:rsidR="0012450B">
        <w:rPr>
          <w:rFonts w:ascii="Bookman Old Style" w:hAnsi="Bookman Old Style"/>
          <w:sz w:val="28"/>
          <w:szCs w:val="28"/>
          <w:lang w:val="el-GR"/>
        </w:rPr>
        <w:t xml:space="preserve">Δικαστήριο. Η 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διαδικασία </w:t>
      </w:r>
      <w:r w:rsidR="0012450B">
        <w:rPr>
          <w:rFonts w:ascii="Bookman Old Style" w:hAnsi="Bookman Old Style"/>
          <w:sz w:val="28"/>
          <w:szCs w:val="28"/>
          <w:lang w:val="el-GR"/>
        </w:rPr>
        <w:t xml:space="preserve">στην αγωγή αναφορικά με τον Εφεσίβλητο </w:t>
      </w:r>
      <w:r w:rsidR="00E20192">
        <w:rPr>
          <w:rFonts w:ascii="Bookman Old Style" w:hAnsi="Bookman Old Style"/>
          <w:sz w:val="28"/>
          <w:szCs w:val="28"/>
          <w:lang w:val="el-GR"/>
        </w:rPr>
        <w:t xml:space="preserve">θα πρέπει να συνεχίσει με τον δέοντα τρόπο και χωρίς περαιτέρω καθυστέρηση. </w:t>
      </w:r>
    </w:p>
    <w:p w14:paraId="0FBED4DA" w14:textId="4B60E45E" w:rsidR="0012450B" w:rsidRDefault="0012450B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Επιδικάζονται €</w:t>
      </w:r>
      <w:r w:rsidR="00495FFA">
        <w:rPr>
          <w:rFonts w:ascii="Bookman Old Style" w:hAnsi="Bookman Old Style"/>
          <w:sz w:val="28"/>
          <w:szCs w:val="28"/>
          <w:lang w:val="el-GR"/>
        </w:rPr>
        <w:t>2</w:t>
      </w:r>
      <w:r w:rsidR="00726163">
        <w:rPr>
          <w:rFonts w:ascii="Bookman Old Style" w:hAnsi="Bookman Old Style"/>
          <w:sz w:val="28"/>
          <w:szCs w:val="28"/>
          <w:lang w:val="el-GR"/>
        </w:rPr>
        <w:t>.000</w:t>
      </w:r>
      <w:r w:rsidR="006B0A6C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έξοδα </w:t>
      </w:r>
      <w:r w:rsidR="006B0A6C">
        <w:rPr>
          <w:rFonts w:ascii="Bookman Old Style" w:hAnsi="Bookman Old Style"/>
          <w:sz w:val="28"/>
          <w:szCs w:val="28"/>
          <w:lang w:val="el-GR"/>
        </w:rPr>
        <w:t xml:space="preserve">της </w:t>
      </w:r>
      <w:r>
        <w:rPr>
          <w:rFonts w:ascii="Bookman Old Style" w:hAnsi="Bookman Old Style"/>
          <w:sz w:val="28"/>
          <w:szCs w:val="28"/>
          <w:lang w:val="el-GR"/>
        </w:rPr>
        <w:t xml:space="preserve">Έφεσης υπέρ του Εφεσείοντος και εναντίον του Εφεσίβλητου, πλέον ΦΠΑ αν υπάρχει. </w:t>
      </w:r>
    </w:p>
    <w:p w14:paraId="78B24A9B" w14:textId="77777777" w:rsidR="003D7CA6" w:rsidRDefault="003D7CA6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51E3B7E8" w14:textId="77777777" w:rsidR="006E1926" w:rsidRDefault="006E1926" w:rsidP="003D7CA6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4BBB3C26" w14:textId="77777777" w:rsidR="00A83BF6" w:rsidRPr="00A83BF6" w:rsidRDefault="00A83BF6" w:rsidP="00A83BF6">
      <w:pPr>
        <w:spacing w:line="240" w:lineRule="auto"/>
        <w:ind w:left="5040" w:firstLine="720"/>
        <w:rPr>
          <w:rFonts w:ascii="Bookman Old Style" w:hAnsi="Bookman Old Style"/>
          <w:sz w:val="28"/>
          <w:szCs w:val="28"/>
          <w:lang w:val="el-GR"/>
        </w:rPr>
      </w:pPr>
      <w:r w:rsidRPr="00A83BF6">
        <w:rPr>
          <w:rFonts w:ascii="Bookman Old Style" w:hAnsi="Bookman Old Style"/>
          <w:sz w:val="28"/>
          <w:szCs w:val="28"/>
          <w:lang w:val="el-GR"/>
        </w:rPr>
        <w:t>Χ. ΜΑΛΑΧΤΟΣ, Δ.</w:t>
      </w:r>
    </w:p>
    <w:p w14:paraId="68FF62E1" w14:textId="77777777" w:rsidR="00A83BF6" w:rsidRPr="00A83BF6" w:rsidRDefault="00A83BF6" w:rsidP="00A83BF6">
      <w:pPr>
        <w:spacing w:line="240" w:lineRule="auto"/>
        <w:rPr>
          <w:rFonts w:ascii="Bookman Old Style" w:hAnsi="Bookman Old Style"/>
          <w:sz w:val="28"/>
          <w:szCs w:val="28"/>
          <w:lang w:val="el-GR"/>
        </w:rPr>
      </w:pPr>
    </w:p>
    <w:p w14:paraId="28815337" w14:textId="77777777" w:rsidR="00A83BF6" w:rsidRPr="00A83BF6" w:rsidRDefault="00A83BF6" w:rsidP="00A83BF6">
      <w:pPr>
        <w:spacing w:line="240" w:lineRule="auto"/>
        <w:rPr>
          <w:rFonts w:ascii="Bookman Old Style" w:hAnsi="Bookman Old Style"/>
          <w:sz w:val="28"/>
          <w:szCs w:val="28"/>
          <w:lang w:val="el-GR"/>
        </w:rPr>
      </w:pPr>
      <w:r w:rsidRPr="00A83BF6">
        <w:rPr>
          <w:rFonts w:ascii="Bookman Old Style" w:hAnsi="Bookman Old Style"/>
          <w:sz w:val="28"/>
          <w:szCs w:val="28"/>
          <w:lang w:val="el-GR"/>
        </w:rPr>
        <w:tab/>
      </w:r>
    </w:p>
    <w:p w14:paraId="04623A07" w14:textId="77777777" w:rsidR="00A83BF6" w:rsidRPr="00A83BF6" w:rsidRDefault="00A83BF6" w:rsidP="00A83BF6">
      <w:pPr>
        <w:spacing w:line="240" w:lineRule="auto"/>
        <w:rPr>
          <w:rFonts w:ascii="Bookman Old Style" w:hAnsi="Bookman Old Style"/>
          <w:sz w:val="28"/>
          <w:szCs w:val="28"/>
          <w:lang w:val="el-GR"/>
        </w:rPr>
      </w:pP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  <w:t>Ι. ΙΩΑΝΝΙΔΗΣ, Δ.</w:t>
      </w:r>
    </w:p>
    <w:p w14:paraId="4758D83D" w14:textId="77777777" w:rsidR="00A83BF6" w:rsidRPr="00A83BF6" w:rsidRDefault="00A83BF6" w:rsidP="00A83BF6">
      <w:pPr>
        <w:spacing w:line="240" w:lineRule="auto"/>
        <w:rPr>
          <w:rFonts w:ascii="Bookman Old Style" w:hAnsi="Bookman Old Style"/>
          <w:sz w:val="28"/>
          <w:szCs w:val="28"/>
          <w:lang w:val="el-GR"/>
        </w:rPr>
      </w:pPr>
    </w:p>
    <w:p w14:paraId="366C70C1" w14:textId="77777777" w:rsidR="00A83BF6" w:rsidRPr="00A83BF6" w:rsidRDefault="00A83BF6" w:rsidP="00A83BF6">
      <w:pPr>
        <w:spacing w:line="240" w:lineRule="auto"/>
        <w:rPr>
          <w:rFonts w:ascii="Bookman Old Style" w:hAnsi="Bookman Old Style"/>
          <w:sz w:val="28"/>
          <w:szCs w:val="28"/>
          <w:lang w:val="el-GR"/>
        </w:rPr>
      </w:pPr>
      <w:r w:rsidRPr="00A83BF6">
        <w:rPr>
          <w:rFonts w:ascii="Bookman Old Style" w:hAnsi="Bookman Old Style"/>
          <w:sz w:val="28"/>
          <w:szCs w:val="28"/>
          <w:lang w:val="el-GR"/>
        </w:rPr>
        <w:tab/>
      </w:r>
    </w:p>
    <w:p w14:paraId="792E78B9" w14:textId="77777777" w:rsidR="00A83BF6" w:rsidRDefault="00A83BF6" w:rsidP="00A83BF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 w:rsidRPr="00A83BF6"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</w:rPr>
        <w:t>Ε. ΕΦΡΑΙΜ, Δ.</w:t>
      </w:r>
    </w:p>
    <w:p w14:paraId="06DA3E88" w14:textId="77777777" w:rsidR="00A83BF6" w:rsidRDefault="00A83BF6" w:rsidP="00A83BF6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7D9D9B7A" w14:textId="77777777" w:rsidR="00A83BF6" w:rsidRDefault="00A83BF6" w:rsidP="00A83BF6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576907E3" w14:textId="77777777" w:rsidR="00A83BF6" w:rsidRDefault="00A83BF6" w:rsidP="00A83BF6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59A9EB21" w14:textId="77777777" w:rsidR="00A83BF6" w:rsidRDefault="00A83BF6" w:rsidP="00A83BF6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420A000F" w14:textId="77777777" w:rsidR="00A83BF6" w:rsidRDefault="00A83BF6" w:rsidP="00A83BF6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73607849" w14:textId="77777777" w:rsidR="00A83BF6" w:rsidRDefault="00A83BF6" w:rsidP="00A83BF6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4095C340" w14:textId="4F69C477" w:rsidR="003D7CA6" w:rsidRPr="004A004C" w:rsidRDefault="00A83BF6" w:rsidP="006E1926">
      <w:pPr>
        <w:shd w:val="clear" w:color="auto" w:fill="FFFFFF"/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/κβπ</w:t>
      </w:r>
    </w:p>
    <w:sectPr w:rsidR="003D7CA6" w:rsidRPr="004A004C" w:rsidSect="00A83BF6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E126" w14:textId="77777777" w:rsidR="00D74FF8" w:rsidRDefault="00D74FF8" w:rsidP="00A83BF6">
      <w:pPr>
        <w:spacing w:after="0" w:line="240" w:lineRule="auto"/>
      </w:pPr>
      <w:r>
        <w:separator/>
      </w:r>
    </w:p>
  </w:endnote>
  <w:endnote w:type="continuationSeparator" w:id="0">
    <w:p w14:paraId="6E659BC2" w14:textId="77777777" w:rsidR="00D74FF8" w:rsidRDefault="00D74FF8" w:rsidP="00A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355C" w14:textId="77777777" w:rsidR="00D74FF8" w:rsidRDefault="00D74FF8" w:rsidP="00A83BF6">
      <w:pPr>
        <w:spacing w:after="0" w:line="240" w:lineRule="auto"/>
      </w:pPr>
      <w:r>
        <w:separator/>
      </w:r>
    </w:p>
  </w:footnote>
  <w:footnote w:type="continuationSeparator" w:id="0">
    <w:p w14:paraId="50003393" w14:textId="77777777" w:rsidR="00D74FF8" w:rsidRDefault="00D74FF8" w:rsidP="00A8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737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CD2C91" w14:textId="28C40E36" w:rsidR="00A83BF6" w:rsidRDefault="00A83B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FC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F1C19FC" w14:textId="77777777" w:rsidR="00A83BF6" w:rsidRDefault="00A83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4"/>
    <w:rsid w:val="00002894"/>
    <w:rsid w:val="00010BED"/>
    <w:rsid w:val="0002754F"/>
    <w:rsid w:val="000543A8"/>
    <w:rsid w:val="000A3CD6"/>
    <w:rsid w:val="000A4C3A"/>
    <w:rsid w:val="000C64A0"/>
    <w:rsid w:val="000F7254"/>
    <w:rsid w:val="001030C5"/>
    <w:rsid w:val="0010409F"/>
    <w:rsid w:val="0012450B"/>
    <w:rsid w:val="00146FCB"/>
    <w:rsid w:val="001A4447"/>
    <w:rsid w:val="001D7739"/>
    <w:rsid w:val="001E1F88"/>
    <w:rsid w:val="001F35BD"/>
    <w:rsid w:val="001F7656"/>
    <w:rsid w:val="00207E98"/>
    <w:rsid w:val="00270686"/>
    <w:rsid w:val="00280E9F"/>
    <w:rsid w:val="002953EB"/>
    <w:rsid w:val="002C6022"/>
    <w:rsid w:val="002D4CF9"/>
    <w:rsid w:val="002E62A4"/>
    <w:rsid w:val="002F572F"/>
    <w:rsid w:val="00307FCC"/>
    <w:rsid w:val="00315625"/>
    <w:rsid w:val="003162E2"/>
    <w:rsid w:val="00333DFB"/>
    <w:rsid w:val="003476DD"/>
    <w:rsid w:val="00383FF8"/>
    <w:rsid w:val="00384E08"/>
    <w:rsid w:val="00386DFC"/>
    <w:rsid w:val="003B39BB"/>
    <w:rsid w:val="003C7024"/>
    <w:rsid w:val="003D4F13"/>
    <w:rsid w:val="003D7CA6"/>
    <w:rsid w:val="004051AA"/>
    <w:rsid w:val="00431A98"/>
    <w:rsid w:val="0045041A"/>
    <w:rsid w:val="00450C95"/>
    <w:rsid w:val="00454379"/>
    <w:rsid w:val="0045672D"/>
    <w:rsid w:val="00471A2E"/>
    <w:rsid w:val="004873B9"/>
    <w:rsid w:val="00491AAB"/>
    <w:rsid w:val="00495FFA"/>
    <w:rsid w:val="004A004C"/>
    <w:rsid w:val="004B5508"/>
    <w:rsid w:val="004D26A5"/>
    <w:rsid w:val="004D3A1C"/>
    <w:rsid w:val="004E4B76"/>
    <w:rsid w:val="004F1C86"/>
    <w:rsid w:val="004F36D7"/>
    <w:rsid w:val="004F6E93"/>
    <w:rsid w:val="0050181B"/>
    <w:rsid w:val="0053467B"/>
    <w:rsid w:val="00535BCE"/>
    <w:rsid w:val="00566E93"/>
    <w:rsid w:val="00571BE1"/>
    <w:rsid w:val="00596178"/>
    <w:rsid w:val="005A68F8"/>
    <w:rsid w:val="005B3984"/>
    <w:rsid w:val="005C3BFC"/>
    <w:rsid w:val="005C7A37"/>
    <w:rsid w:val="005D0AC7"/>
    <w:rsid w:val="005E1C19"/>
    <w:rsid w:val="005E5A1C"/>
    <w:rsid w:val="00605D8D"/>
    <w:rsid w:val="006310BE"/>
    <w:rsid w:val="00632E09"/>
    <w:rsid w:val="00666873"/>
    <w:rsid w:val="00683183"/>
    <w:rsid w:val="006A1FE2"/>
    <w:rsid w:val="006B0A6C"/>
    <w:rsid w:val="006B0EAF"/>
    <w:rsid w:val="006B434D"/>
    <w:rsid w:val="006C115A"/>
    <w:rsid w:val="006E1926"/>
    <w:rsid w:val="006E6AE9"/>
    <w:rsid w:val="006E6DF5"/>
    <w:rsid w:val="006F2CC1"/>
    <w:rsid w:val="00710B91"/>
    <w:rsid w:val="00714D42"/>
    <w:rsid w:val="00722EB3"/>
    <w:rsid w:val="007231DD"/>
    <w:rsid w:val="00726163"/>
    <w:rsid w:val="00747410"/>
    <w:rsid w:val="00783594"/>
    <w:rsid w:val="00783BF1"/>
    <w:rsid w:val="007C6797"/>
    <w:rsid w:val="007D13C6"/>
    <w:rsid w:val="007E0AA7"/>
    <w:rsid w:val="007E35AE"/>
    <w:rsid w:val="008037A8"/>
    <w:rsid w:val="008245D3"/>
    <w:rsid w:val="008276D9"/>
    <w:rsid w:val="00833A79"/>
    <w:rsid w:val="008504AF"/>
    <w:rsid w:val="0087536C"/>
    <w:rsid w:val="00893DD7"/>
    <w:rsid w:val="008C523E"/>
    <w:rsid w:val="008E49BA"/>
    <w:rsid w:val="009072CA"/>
    <w:rsid w:val="00913A16"/>
    <w:rsid w:val="009442AB"/>
    <w:rsid w:val="00956297"/>
    <w:rsid w:val="00971AEC"/>
    <w:rsid w:val="0099066D"/>
    <w:rsid w:val="009B3774"/>
    <w:rsid w:val="009D5B5D"/>
    <w:rsid w:val="009F053E"/>
    <w:rsid w:val="009F3B97"/>
    <w:rsid w:val="00A0489A"/>
    <w:rsid w:val="00A239C8"/>
    <w:rsid w:val="00A40221"/>
    <w:rsid w:val="00A40B33"/>
    <w:rsid w:val="00A62B19"/>
    <w:rsid w:val="00A7012C"/>
    <w:rsid w:val="00A83BF6"/>
    <w:rsid w:val="00A84774"/>
    <w:rsid w:val="00AA0DD5"/>
    <w:rsid w:val="00AB6813"/>
    <w:rsid w:val="00AC5DA7"/>
    <w:rsid w:val="00AC6D66"/>
    <w:rsid w:val="00AC7104"/>
    <w:rsid w:val="00AD142C"/>
    <w:rsid w:val="00AE6497"/>
    <w:rsid w:val="00B029B2"/>
    <w:rsid w:val="00B409F3"/>
    <w:rsid w:val="00B64B64"/>
    <w:rsid w:val="00B75CCC"/>
    <w:rsid w:val="00B77043"/>
    <w:rsid w:val="00B803E8"/>
    <w:rsid w:val="00BA3AF9"/>
    <w:rsid w:val="00BA3F16"/>
    <w:rsid w:val="00BB3483"/>
    <w:rsid w:val="00BD013C"/>
    <w:rsid w:val="00BD2476"/>
    <w:rsid w:val="00BD4006"/>
    <w:rsid w:val="00BE3E50"/>
    <w:rsid w:val="00BF0BD0"/>
    <w:rsid w:val="00C1301A"/>
    <w:rsid w:val="00C23DD5"/>
    <w:rsid w:val="00C31B6D"/>
    <w:rsid w:val="00C361DB"/>
    <w:rsid w:val="00C52E1F"/>
    <w:rsid w:val="00C615B0"/>
    <w:rsid w:val="00C865C8"/>
    <w:rsid w:val="00C93B92"/>
    <w:rsid w:val="00C94C8B"/>
    <w:rsid w:val="00CA0F2D"/>
    <w:rsid w:val="00CA5A5D"/>
    <w:rsid w:val="00CB696E"/>
    <w:rsid w:val="00CE7FAC"/>
    <w:rsid w:val="00CF1DB5"/>
    <w:rsid w:val="00D00BCD"/>
    <w:rsid w:val="00D04F1D"/>
    <w:rsid w:val="00D10902"/>
    <w:rsid w:val="00D1368E"/>
    <w:rsid w:val="00D3242A"/>
    <w:rsid w:val="00D346F9"/>
    <w:rsid w:val="00D563E3"/>
    <w:rsid w:val="00D6194D"/>
    <w:rsid w:val="00D74FF8"/>
    <w:rsid w:val="00DA7904"/>
    <w:rsid w:val="00DD01B9"/>
    <w:rsid w:val="00DD5A5B"/>
    <w:rsid w:val="00DE1738"/>
    <w:rsid w:val="00DE684A"/>
    <w:rsid w:val="00DF1BCC"/>
    <w:rsid w:val="00E05ECE"/>
    <w:rsid w:val="00E20192"/>
    <w:rsid w:val="00E3039E"/>
    <w:rsid w:val="00E53C9B"/>
    <w:rsid w:val="00E76AEB"/>
    <w:rsid w:val="00E93738"/>
    <w:rsid w:val="00E97BC1"/>
    <w:rsid w:val="00EC23C4"/>
    <w:rsid w:val="00ED35BB"/>
    <w:rsid w:val="00ED3F74"/>
    <w:rsid w:val="00ED4944"/>
    <w:rsid w:val="00ED7FEC"/>
    <w:rsid w:val="00EE0D78"/>
    <w:rsid w:val="00EE55D1"/>
    <w:rsid w:val="00EF72BC"/>
    <w:rsid w:val="00F3294C"/>
    <w:rsid w:val="00F342C4"/>
    <w:rsid w:val="00F46501"/>
    <w:rsid w:val="00F504B2"/>
    <w:rsid w:val="00F51B76"/>
    <w:rsid w:val="00F53E8B"/>
    <w:rsid w:val="00F775BE"/>
    <w:rsid w:val="00FA730F"/>
    <w:rsid w:val="00FB55CA"/>
    <w:rsid w:val="00FD409C"/>
    <w:rsid w:val="00FE6DB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F1C3"/>
  <w15:chartTrackingRefBased/>
  <w15:docId w15:val="{0411F68C-4DF6-448F-A361-AF61089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F6"/>
  </w:style>
  <w:style w:type="paragraph" w:styleId="Footer">
    <w:name w:val="footer"/>
    <w:basedOn w:val="Normal"/>
    <w:link w:val="FooterChar"/>
    <w:uiPriority w:val="99"/>
    <w:unhideWhenUsed/>
    <w:rsid w:val="00A83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2573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Efrem</dc:creator>
  <cp:keywords/>
  <dc:description/>
  <cp:lastModifiedBy>Kakia Zervou</cp:lastModifiedBy>
  <cp:revision>2</cp:revision>
  <cp:lastPrinted>2023-10-11T08:16:00Z</cp:lastPrinted>
  <dcterms:created xsi:type="dcterms:W3CDTF">2023-10-26T08:35:00Z</dcterms:created>
  <dcterms:modified xsi:type="dcterms:W3CDTF">2023-10-26T08:35:00Z</dcterms:modified>
</cp:coreProperties>
</file>